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hart10.xml" ContentType="application/vnd.openxmlformats-officedocument.drawingml.chart+xml"/>
  <Override PartName="/word/theme/themeOverride10.xml" ContentType="application/vnd.openxmlformats-officedocument.themeOverride+xml"/>
  <Override PartName="/word/charts/colors10.xml" ContentType="application/vnd.ms-office.chartcolorstyle+xml"/>
  <Override PartName="/word/charts/style1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FDE9B3" w14:textId="52D5C504" w:rsidR="001156C6" w:rsidRPr="00AC2EB0" w:rsidRDefault="001156C6" w:rsidP="00A536A1">
      <w:pPr>
        <w:rPr>
          <w:rFonts w:cs="Arial"/>
          <w:color w:val="000000" w:themeColor="text1"/>
        </w:rPr>
      </w:pPr>
      <w:bookmarkStart w:id="0" w:name="_GoBack"/>
      <w:bookmarkEnd w:id="0"/>
      <w:r w:rsidRPr="00B95665">
        <w:rPr>
          <w:rFonts w:cs="Arial"/>
          <w:color w:val="000000" w:themeColor="text1"/>
        </w:rPr>
        <w:t xml:space="preserve">Project Number: </w:t>
      </w:r>
      <w:r w:rsidR="00877CBA">
        <w:rPr>
          <w:rFonts w:cs="Arial"/>
          <w:color w:val="000000" w:themeColor="text1"/>
        </w:rPr>
        <w:t>54271-001</w:t>
      </w:r>
      <w:r w:rsidR="48D56E7C" w:rsidRPr="5526A9AD">
        <w:rPr>
          <w:rFonts w:cs="Arial"/>
          <w:color w:val="000000" w:themeColor="text1"/>
        </w:rPr>
        <w:t xml:space="preserve"> </w:t>
      </w:r>
      <w:r w:rsidR="61A5E3B8" w:rsidRPr="5526A9AD">
        <w:rPr>
          <w:rFonts w:cs="Arial"/>
          <w:color w:val="000000" w:themeColor="text1"/>
        </w:rPr>
        <w:t xml:space="preserve"> </w:t>
      </w:r>
    </w:p>
    <w:p w14:paraId="08FB64AD" w14:textId="3ABA2DEE" w:rsidR="001156C6" w:rsidRPr="00AC2EB0" w:rsidRDefault="0075684B" w:rsidP="006877C3">
      <w:pPr>
        <w:jc w:val="left"/>
        <w:rPr>
          <w:rFonts w:cs="Arial"/>
          <w:color w:val="000000" w:themeColor="text1"/>
        </w:rPr>
      </w:pPr>
      <w:r>
        <w:rPr>
          <w:rFonts w:cs="Arial"/>
          <w:color w:val="000000" w:themeColor="text1"/>
        </w:rPr>
        <w:t>October</w:t>
      </w:r>
      <w:r w:rsidR="00D935BE" w:rsidRPr="00AC2EB0">
        <w:rPr>
          <w:rFonts w:cs="Arial"/>
          <w:color w:val="000000" w:themeColor="text1"/>
        </w:rPr>
        <w:t xml:space="preserve"> </w:t>
      </w:r>
      <w:r w:rsidR="00BF05A0" w:rsidRPr="00AC2EB0">
        <w:rPr>
          <w:rFonts w:cs="Arial"/>
          <w:color w:val="000000" w:themeColor="text1"/>
        </w:rPr>
        <w:t>2020</w:t>
      </w:r>
    </w:p>
    <w:p w14:paraId="2F5202DC" w14:textId="77777777" w:rsidR="001156C6" w:rsidRPr="00AC2EB0" w:rsidRDefault="001156C6" w:rsidP="006877C3">
      <w:pPr>
        <w:jc w:val="left"/>
        <w:rPr>
          <w:rFonts w:cs="Arial"/>
          <w:color w:val="000000" w:themeColor="text1"/>
        </w:rPr>
      </w:pPr>
    </w:p>
    <w:p w14:paraId="78448CBB" w14:textId="77777777" w:rsidR="001156C6" w:rsidRPr="00AC2EB0" w:rsidRDefault="001156C6" w:rsidP="006877C3">
      <w:pPr>
        <w:jc w:val="left"/>
        <w:rPr>
          <w:rFonts w:cs="Arial"/>
          <w:color w:val="000000" w:themeColor="text1"/>
        </w:rPr>
      </w:pPr>
    </w:p>
    <w:p w14:paraId="0DE5A0A3" w14:textId="346A89A0" w:rsidR="001156C6" w:rsidRPr="00AC2EB0" w:rsidRDefault="001156C6">
      <w:pPr>
        <w:autoSpaceDE w:val="0"/>
        <w:autoSpaceDN w:val="0"/>
        <w:adjustRightInd w:val="0"/>
        <w:jc w:val="left"/>
        <w:rPr>
          <w:rFonts w:cs="Arial"/>
          <w:color w:val="000000" w:themeColor="text1"/>
          <w:sz w:val="40"/>
          <w:szCs w:val="40"/>
        </w:rPr>
      </w:pPr>
      <w:r w:rsidRPr="7464BC5E">
        <w:rPr>
          <w:rFonts w:cs="Arial"/>
          <w:color w:val="000000" w:themeColor="text1"/>
          <w:sz w:val="40"/>
          <w:szCs w:val="40"/>
        </w:rPr>
        <w:t xml:space="preserve">Proposed </w:t>
      </w:r>
      <w:r w:rsidR="00332D04">
        <w:rPr>
          <w:rFonts w:cs="Arial"/>
          <w:color w:val="000000" w:themeColor="text1"/>
          <w:sz w:val="40"/>
          <w:szCs w:val="40"/>
        </w:rPr>
        <w:t xml:space="preserve">Programmatic Approach and </w:t>
      </w:r>
      <w:r w:rsidR="00BF05A0" w:rsidRPr="7464BC5E">
        <w:rPr>
          <w:rFonts w:cs="Arial"/>
          <w:color w:val="000000" w:themeColor="text1"/>
          <w:sz w:val="40"/>
          <w:szCs w:val="40"/>
        </w:rPr>
        <w:t>Policy</w:t>
      </w:r>
      <w:r w:rsidR="00612E33" w:rsidRPr="7464BC5E">
        <w:rPr>
          <w:rFonts w:cs="Arial"/>
          <w:color w:val="000000" w:themeColor="text1"/>
          <w:sz w:val="40"/>
          <w:szCs w:val="40"/>
        </w:rPr>
        <w:t>-</w:t>
      </w:r>
      <w:r w:rsidR="00BF05A0" w:rsidRPr="7464BC5E">
        <w:rPr>
          <w:rFonts w:cs="Arial"/>
          <w:color w:val="000000" w:themeColor="text1"/>
          <w:sz w:val="40"/>
          <w:szCs w:val="40"/>
        </w:rPr>
        <w:t>Based Loan</w:t>
      </w:r>
      <w:r w:rsidR="2BE7BC62" w:rsidRPr="7464BC5E">
        <w:rPr>
          <w:rFonts w:cs="Arial"/>
          <w:color w:val="000000" w:themeColor="text1"/>
          <w:sz w:val="40"/>
          <w:szCs w:val="40"/>
        </w:rPr>
        <w:t xml:space="preserve"> </w:t>
      </w:r>
      <w:r w:rsidR="00D208B1">
        <w:rPr>
          <w:rFonts w:cs="Arial"/>
          <w:color w:val="000000" w:themeColor="text1"/>
          <w:sz w:val="40"/>
          <w:szCs w:val="40"/>
        </w:rPr>
        <w:t>for Subprogram 1</w:t>
      </w:r>
    </w:p>
    <w:p w14:paraId="7058C8AC" w14:textId="65A09A50" w:rsidR="00650CEF" w:rsidRPr="00AC2EB0" w:rsidRDefault="0075684B" w:rsidP="00650CEF">
      <w:pPr>
        <w:rPr>
          <w:rFonts w:eastAsia="Times New Roman" w:cs="Arial"/>
          <w:color w:val="000000" w:themeColor="text1"/>
          <w:sz w:val="40"/>
          <w:szCs w:val="40"/>
          <w:lang w:val="en-PH"/>
        </w:rPr>
      </w:pPr>
      <w:r>
        <w:rPr>
          <w:rFonts w:cs="Arial"/>
          <w:color w:val="000000" w:themeColor="text1"/>
          <w:sz w:val="40"/>
          <w:szCs w:val="40"/>
        </w:rPr>
        <w:t>Georgia</w:t>
      </w:r>
      <w:r w:rsidR="001156C6" w:rsidRPr="00AC2EB0">
        <w:rPr>
          <w:rFonts w:cs="Arial"/>
          <w:color w:val="000000" w:themeColor="text1"/>
          <w:sz w:val="40"/>
          <w:szCs w:val="40"/>
        </w:rPr>
        <w:t xml:space="preserve">: </w:t>
      </w:r>
      <w:r>
        <w:rPr>
          <w:rFonts w:eastAsia="Times New Roman" w:cs="Arial"/>
          <w:color w:val="000000" w:themeColor="text1"/>
          <w:sz w:val="40"/>
          <w:szCs w:val="40"/>
          <w:lang w:val="en-PH"/>
        </w:rPr>
        <w:t xml:space="preserve">Fiscal Resilience and </w:t>
      </w:r>
      <w:r w:rsidR="00650CEF" w:rsidRPr="00AC2EB0">
        <w:rPr>
          <w:rFonts w:eastAsia="Times New Roman" w:cs="Arial"/>
          <w:color w:val="000000" w:themeColor="text1"/>
          <w:sz w:val="40"/>
          <w:szCs w:val="40"/>
          <w:lang w:val="en-PH"/>
        </w:rPr>
        <w:t xml:space="preserve">Social Protection </w:t>
      </w:r>
      <w:r>
        <w:rPr>
          <w:rFonts w:eastAsia="Times New Roman" w:cs="Arial"/>
          <w:color w:val="000000" w:themeColor="text1"/>
          <w:sz w:val="40"/>
          <w:szCs w:val="40"/>
          <w:lang w:val="en-PH"/>
        </w:rPr>
        <w:t>Support</w:t>
      </w:r>
      <w:r w:rsidR="00650CEF" w:rsidRPr="00AC2EB0">
        <w:rPr>
          <w:rFonts w:eastAsia="Times New Roman" w:cs="Arial"/>
          <w:color w:val="000000" w:themeColor="text1"/>
          <w:sz w:val="40"/>
          <w:szCs w:val="40"/>
          <w:lang w:val="en-PH"/>
        </w:rPr>
        <w:t> </w:t>
      </w:r>
      <w:r w:rsidR="001B023D" w:rsidRPr="00AC2EB0">
        <w:rPr>
          <w:rFonts w:eastAsia="Times New Roman" w:cs="Arial"/>
          <w:color w:val="000000" w:themeColor="text1"/>
          <w:sz w:val="40"/>
          <w:szCs w:val="40"/>
          <w:lang w:val="en-PH"/>
        </w:rPr>
        <w:t>Program</w:t>
      </w:r>
    </w:p>
    <w:p w14:paraId="3D5040FE" w14:textId="191768C5" w:rsidR="001156C6" w:rsidRDefault="001156C6" w:rsidP="00AC2EB0">
      <w:pPr>
        <w:autoSpaceDE w:val="0"/>
        <w:autoSpaceDN w:val="0"/>
        <w:adjustRightInd w:val="0"/>
        <w:rPr>
          <w:rFonts w:cs="Arial"/>
          <w:color w:val="FF0000"/>
          <w:sz w:val="40"/>
          <w:szCs w:val="40"/>
        </w:rPr>
      </w:pPr>
    </w:p>
    <w:p w14:paraId="4ADA1774" w14:textId="77777777" w:rsidR="00C15D86" w:rsidRDefault="00C15D86">
      <w:pPr>
        <w:autoSpaceDE w:val="0"/>
        <w:autoSpaceDN w:val="0"/>
        <w:adjustRightInd w:val="0"/>
        <w:jc w:val="left"/>
        <w:rPr>
          <w:rFonts w:cs="Arial"/>
          <w:color w:val="FF0000"/>
          <w:sz w:val="40"/>
          <w:szCs w:val="40"/>
        </w:rPr>
      </w:pPr>
    </w:p>
    <w:p w14:paraId="2BC2AC69" w14:textId="77777777" w:rsidR="00C15D86" w:rsidRDefault="00C15D86">
      <w:pPr>
        <w:autoSpaceDE w:val="0"/>
        <w:autoSpaceDN w:val="0"/>
        <w:adjustRightInd w:val="0"/>
        <w:jc w:val="left"/>
        <w:rPr>
          <w:rFonts w:cs="Arial"/>
          <w:color w:val="FF0000"/>
          <w:sz w:val="40"/>
          <w:szCs w:val="40"/>
        </w:rPr>
      </w:pPr>
    </w:p>
    <w:p w14:paraId="665D07DE" w14:textId="77777777" w:rsidR="00C15D86" w:rsidRDefault="00C15D86">
      <w:pPr>
        <w:autoSpaceDE w:val="0"/>
        <w:autoSpaceDN w:val="0"/>
        <w:adjustRightInd w:val="0"/>
        <w:jc w:val="left"/>
        <w:rPr>
          <w:rFonts w:cs="Arial"/>
          <w:color w:val="FF0000"/>
          <w:sz w:val="40"/>
          <w:szCs w:val="40"/>
        </w:rPr>
      </w:pPr>
    </w:p>
    <w:p w14:paraId="1A03B3AE" w14:textId="77777777" w:rsidR="00C15D86" w:rsidRDefault="00C15D86">
      <w:pPr>
        <w:autoSpaceDE w:val="0"/>
        <w:autoSpaceDN w:val="0"/>
        <w:adjustRightInd w:val="0"/>
        <w:jc w:val="left"/>
        <w:rPr>
          <w:rFonts w:cs="Arial"/>
          <w:color w:val="FF0000"/>
          <w:sz w:val="40"/>
          <w:szCs w:val="40"/>
        </w:rPr>
      </w:pPr>
    </w:p>
    <w:p w14:paraId="1B10E07F" w14:textId="77777777" w:rsidR="00C15D86" w:rsidRDefault="00C15D86">
      <w:pPr>
        <w:autoSpaceDE w:val="0"/>
        <w:autoSpaceDN w:val="0"/>
        <w:adjustRightInd w:val="0"/>
        <w:jc w:val="left"/>
        <w:rPr>
          <w:rFonts w:cs="Arial"/>
          <w:color w:val="FF0000"/>
          <w:sz w:val="40"/>
          <w:szCs w:val="40"/>
        </w:rPr>
      </w:pPr>
    </w:p>
    <w:p w14:paraId="71812A25" w14:textId="77777777" w:rsidR="00C15D86" w:rsidRDefault="00C15D86">
      <w:pPr>
        <w:autoSpaceDE w:val="0"/>
        <w:autoSpaceDN w:val="0"/>
        <w:adjustRightInd w:val="0"/>
        <w:jc w:val="left"/>
        <w:rPr>
          <w:rFonts w:cs="Arial"/>
          <w:color w:val="FF0000"/>
          <w:sz w:val="40"/>
          <w:szCs w:val="40"/>
        </w:rPr>
      </w:pPr>
    </w:p>
    <w:p w14:paraId="033ACE9F" w14:textId="77777777" w:rsidR="00C15D86" w:rsidRDefault="00C15D86">
      <w:pPr>
        <w:autoSpaceDE w:val="0"/>
        <w:autoSpaceDN w:val="0"/>
        <w:adjustRightInd w:val="0"/>
        <w:jc w:val="left"/>
        <w:rPr>
          <w:rFonts w:cs="Arial"/>
          <w:color w:val="FF0000"/>
          <w:sz w:val="40"/>
          <w:szCs w:val="40"/>
        </w:rPr>
      </w:pPr>
    </w:p>
    <w:p w14:paraId="021562F0" w14:textId="77777777" w:rsidR="00C15D86" w:rsidRDefault="00C15D86">
      <w:pPr>
        <w:autoSpaceDE w:val="0"/>
        <w:autoSpaceDN w:val="0"/>
        <w:adjustRightInd w:val="0"/>
        <w:jc w:val="left"/>
        <w:rPr>
          <w:rFonts w:cs="Arial"/>
          <w:color w:val="FF0000"/>
          <w:sz w:val="40"/>
          <w:szCs w:val="40"/>
        </w:rPr>
      </w:pPr>
    </w:p>
    <w:p w14:paraId="2C743EC8" w14:textId="77777777" w:rsidR="00995B8E" w:rsidRPr="00AC2EB0" w:rsidRDefault="00995B8E" w:rsidP="00AC2EB0">
      <w:pPr>
        <w:autoSpaceDE w:val="0"/>
        <w:autoSpaceDN w:val="0"/>
        <w:adjustRightInd w:val="0"/>
        <w:rPr>
          <w:rFonts w:cs="Arial"/>
        </w:rPr>
      </w:pPr>
      <w:r w:rsidRPr="00AC2EB0">
        <w:rPr>
          <w:rFonts w:cs="Arial"/>
        </w:rPr>
        <w:t>Distribution of this document is restricted until it has been approved by the Board of Directors.</w:t>
      </w:r>
    </w:p>
    <w:p w14:paraId="0299598C" w14:textId="77777777" w:rsidR="00995B8E" w:rsidRPr="00AC2EB0" w:rsidRDefault="00995B8E" w:rsidP="00AC2EB0">
      <w:pPr>
        <w:autoSpaceDE w:val="0"/>
        <w:autoSpaceDN w:val="0"/>
        <w:adjustRightInd w:val="0"/>
        <w:rPr>
          <w:rFonts w:cs="Arial"/>
        </w:rPr>
      </w:pPr>
      <w:r w:rsidRPr="00AC2EB0">
        <w:rPr>
          <w:rFonts w:cs="Arial"/>
        </w:rPr>
        <w:t>Following such approval, ADB will disclose the document to the public in accordance with ADB's</w:t>
      </w:r>
    </w:p>
    <w:p w14:paraId="4C086E71" w14:textId="5ECFEC37" w:rsidR="001156C6" w:rsidRPr="00995B8E" w:rsidRDefault="00995B8E" w:rsidP="00995B8E">
      <w:pPr>
        <w:rPr>
          <w:rFonts w:cs="Arial"/>
        </w:rPr>
        <w:sectPr w:rsidR="001156C6" w:rsidRPr="00995B8E" w:rsidSect="00F65E50">
          <w:headerReference w:type="even" r:id="rId12"/>
          <w:headerReference w:type="default" r:id="rId13"/>
          <w:footerReference w:type="even" r:id="rId14"/>
          <w:footerReference w:type="default" r:id="rId15"/>
          <w:headerReference w:type="first" r:id="rId16"/>
          <w:footerReference w:type="first" r:id="rId17"/>
          <w:footnotePr>
            <w:numRestart w:val="eachSect"/>
          </w:footnotePr>
          <w:endnotePr>
            <w:numRestart w:val="eachSect"/>
          </w:endnotePr>
          <w:pgSz w:w="12240" w:h="15840"/>
          <w:pgMar w:top="4968" w:right="1440" w:bottom="1440" w:left="1440" w:header="720" w:footer="720" w:gutter="0"/>
          <w:cols w:space="720"/>
          <w:docGrid w:linePitch="360"/>
        </w:sectPr>
      </w:pPr>
      <w:r w:rsidRPr="00AC2EB0">
        <w:rPr>
          <w:rFonts w:cs="Arial"/>
        </w:rPr>
        <w:t>Access to Information Policy</w:t>
      </w:r>
    </w:p>
    <w:p w14:paraId="457AE186" w14:textId="77777777" w:rsidR="004A4BA8" w:rsidRPr="0003721E" w:rsidRDefault="004A4BA8" w:rsidP="004A4BA8">
      <w:pPr>
        <w:pStyle w:val="FrontMatter"/>
        <w:rPr>
          <w:color w:val="000000" w:themeColor="text1"/>
        </w:rPr>
      </w:pPr>
      <w:r w:rsidRPr="0003721E">
        <w:rPr>
          <w:color w:val="000000" w:themeColor="text1"/>
        </w:rPr>
        <w:lastRenderedPageBreak/>
        <w:t>Currency Equivalents</w:t>
      </w:r>
    </w:p>
    <w:p w14:paraId="162AA83A" w14:textId="0B5BAF13" w:rsidR="004A4BA8" w:rsidRPr="0003721E" w:rsidRDefault="004A4BA8" w:rsidP="004A4BA8">
      <w:pPr>
        <w:tabs>
          <w:tab w:val="center" w:pos="4680"/>
        </w:tabs>
        <w:jc w:val="center"/>
        <w:rPr>
          <w:rFonts w:cs="Arial"/>
          <w:color w:val="000000" w:themeColor="text1"/>
        </w:rPr>
      </w:pPr>
      <w:r w:rsidRPr="0003721E">
        <w:rPr>
          <w:rFonts w:cs="Arial"/>
          <w:color w:val="000000" w:themeColor="text1"/>
        </w:rPr>
        <w:t xml:space="preserve">(as of </w:t>
      </w:r>
      <w:r w:rsidR="004F0837">
        <w:rPr>
          <w:rFonts w:cs="Arial"/>
          <w:color w:val="000000" w:themeColor="text1"/>
        </w:rPr>
        <w:t>13</w:t>
      </w:r>
      <w:r w:rsidRPr="0003721E">
        <w:rPr>
          <w:rFonts w:cs="Arial"/>
          <w:color w:val="000000" w:themeColor="text1"/>
        </w:rPr>
        <w:t xml:space="preserve"> </w:t>
      </w:r>
      <w:r w:rsidR="004F0837">
        <w:rPr>
          <w:rFonts w:cs="Arial"/>
          <w:color w:val="000000" w:themeColor="text1"/>
        </w:rPr>
        <w:t>August</w:t>
      </w:r>
      <w:r w:rsidRPr="0003721E">
        <w:rPr>
          <w:rFonts w:cs="Arial"/>
          <w:color w:val="000000" w:themeColor="text1"/>
        </w:rPr>
        <w:t xml:space="preserve"> 2020)</w:t>
      </w:r>
    </w:p>
    <w:p w14:paraId="7D8464AD" w14:textId="77777777" w:rsidR="004A4BA8" w:rsidRPr="0003721E" w:rsidRDefault="004A4BA8" w:rsidP="004A4BA8">
      <w:pPr>
        <w:rPr>
          <w:rFonts w:cs="Arial"/>
          <w:color w:val="000000" w:themeColor="text1"/>
        </w:rPr>
      </w:pPr>
    </w:p>
    <w:tbl>
      <w:tblPr>
        <w:tblW w:w="7632" w:type="dxa"/>
        <w:tblInd w:w="1172" w:type="dxa"/>
        <w:tblLayout w:type="fixed"/>
        <w:tblLook w:val="0000" w:firstRow="0" w:lastRow="0" w:firstColumn="0" w:lastColumn="0" w:noHBand="0" w:noVBand="0"/>
      </w:tblPr>
      <w:tblGrid>
        <w:gridCol w:w="2746"/>
        <w:gridCol w:w="586"/>
        <w:gridCol w:w="4300"/>
      </w:tblGrid>
      <w:tr w:rsidR="004A4BA8" w:rsidRPr="0003721E" w14:paraId="0EEB5525" w14:textId="77777777" w:rsidTr="00DA11CF">
        <w:trPr>
          <w:trHeight w:val="257"/>
        </w:trPr>
        <w:tc>
          <w:tcPr>
            <w:tcW w:w="2746" w:type="dxa"/>
          </w:tcPr>
          <w:p w14:paraId="5B17361C" w14:textId="77777777" w:rsidR="004A4BA8" w:rsidRPr="0003721E" w:rsidRDefault="004A4BA8" w:rsidP="00DA11CF">
            <w:pPr>
              <w:jc w:val="right"/>
              <w:rPr>
                <w:rFonts w:cs="Arial"/>
                <w:color w:val="000000" w:themeColor="text1"/>
              </w:rPr>
            </w:pPr>
            <w:r w:rsidRPr="0003721E">
              <w:rPr>
                <w:rFonts w:cs="Arial"/>
                <w:color w:val="000000" w:themeColor="text1"/>
              </w:rPr>
              <w:t>Currency unit</w:t>
            </w:r>
          </w:p>
        </w:tc>
        <w:tc>
          <w:tcPr>
            <w:tcW w:w="586" w:type="dxa"/>
          </w:tcPr>
          <w:p w14:paraId="2483B45A" w14:textId="77777777" w:rsidR="004A4BA8" w:rsidRPr="0003721E" w:rsidRDefault="004A4BA8" w:rsidP="00DA11CF">
            <w:pPr>
              <w:jc w:val="center"/>
              <w:rPr>
                <w:rFonts w:cs="Arial"/>
                <w:color w:val="000000" w:themeColor="text1"/>
              </w:rPr>
            </w:pPr>
            <w:r w:rsidRPr="0003721E">
              <w:rPr>
                <w:rFonts w:cs="Arial"/>
                <w:color w:val="000000" w:themeColor="text1"/>
              </w:rPr>
              <w:t>–</w:t>
            </w:r>
          </w:p>
        </w:tc>
        <w:tc>
          <w:tcPr>
            <w:tcW w:w="4300" w:type="dxa"/>
          </w:tcPr>
          <w:p w14:paraId="6BAAB4EA" w14:textId="30B6EB30" w:rsidR="004A4BA8" w:rsidRPr="0003721E" w:rsidRDefault="00181BFA" w:rsidP="00DA11CF">
            <w:pPr>
              <w:rPr>
                <w:rFonts w:cs="Arial"/>
                <w:color w:val="000000" w:themeColor="text1"/>
              </w:rPr>
            </w:pPr>
            <w:r>
              <w:rPr>
                <w:rFonts w:cs="Arial"/>
                <w:color w:val="000000" w:themeColor="text1"/>
              </w:rPr>
              <w:t>lari</w:t>
            </w:r>
            <w:r w:rsidR="004A4BA8" w:rsidRPr="0003721E">
              <w:rPr>
                <w:rFonts w:cs="Arial"/>
                <w:color w:val="000000" w:themeColor="text1"/>
              </w:rPr>
              <w:t xml:space="preserve"> (</w:t>
            </w:r>
            <w:r>
              <w:rPr>
                <w:rFonts w:cs="Arial"/>
                <w:color w:val="000000" w:themeColor="text1"/>
              </w:rPr>
              <w:t>GEL</w:t>
            </w:r>
            <w:r w:rsidR="004A4BA8" w:rsidRPr="0003721E">
              <w:rPr>
                <w:rFonts w:cs="Arial"/>
                <w:color w:val="000000" w:themeColor="text1"/>
              </w:rPr>
              <w:t>)</w:t>
            </w:r>
          </w:p>
        </w:tc>
      </w:tr>
      <w:tr w:rsidR="004A4BA8" w:rsidRPr="0003721E" w14:paraId="4AE1B7CC" w14:textId="77777777" w:rsidTr="00DA11CF">
        <w:trPr>
          <w:cantSplit/>
          <w:trHeight w:val="155"/>
        </w:trPr>
        <w:tc>
          <w:tcPr>
            <w:tcW w:w="2746" w:type="dxa"/>
          </w:tcPr>
          <w:p w14:paraId="752E21B6" w14:textId="5F528509" w:rsidR="004A4BA8" w:rsidRPr="0003721E" w:rsidRDefault="00181BFA" w:rsidP="00DA11CF">
            <w:pPr>
              <w:jc w:val="right"/>
              <w:rPr>
                <w:rFonts w:cs="Arial"/>
                <w:color w:val="000000" w:themeColor="text1"/>
              </w:rPr>
            </w:pPr>
            <w:r>
              <w:rPr>
                <w:rFonts w:cs="Arial"/>
                <w:color w:val="000000" w:themeColor="text1"/>
              </w:rPr>
              <w:t>GEL</w:t>
            </w:r>
            <w:r w:rsidR="004A4BA8" w:rsidRPr="0003721E">
              <w:rPr>
                <w:rFonts w:cs="Arial"/>
                <w:color w:val="000000" w:themeColor="text1"/>
              </w:rPr>
              <w:t>1.00</w:t>
            </w:r>
          </w:p>
        </w:tc>
        <w:tc>
          <w:tcPr>
            <w:tcW w:w="586" w:type="dxa"/>
          </w:tcPr>
          <w:p w14:paraId="05D048F1" w14:textId="77777777" w:rsidR="004A4BA8" w:rsidRPr="0003721E" w:rsidRDefault="004A4BA8" w:rsidP="00DA11CF">
            <w:pPr>
              <w:jc w:val="center"/>
              <w:rPr>
                <w:rFonts w:cs="Arial"/>
                <w:color w:val="000000" w:themeColor="text1"/>
              </w:rPr>
            </w:pPr>
            <w:r w:rsidRPr="0003721E">
              <w:rPr>
                <w:rFonts w:cs="Arial"/>
                <w:color w:val="000000" w:themeColor="text1"/>
              </w:rPr>
              <w:t>=</w:t>
            </w:r>
          </w:p>
        </w:tc>
        <w:tc>
          <w:tcPr>
            <w:tcW w:w="4300" w:type="dxa"/>
          </w:tcPr>
          <w:p w14:paraId="228B08EA" w14:textId="20FF5251" w:rsidR="004A4BA8" w:rsidRPr="0003721E" w:rsidRDefault="004A4BA8" w:rsidP="00DA11CF">
            <w:pPr>
              <w:rPr>
                <w:rFonts w:cs="Arial"/>
                <w:color w:val="000000" w:themeColor="text1"/>
              </w:rPr>
            </w:pPr>
            <w:r w:rsidRPr="0003721E">
              <w:rPr>
                <w:rFonts w:cs="Arial"/>
                <w:color w:val="000000" w:themeColor="text1"/>
              </w:rPr>
              <w:t>$0.</w:t>
            </w:r>
            <w:r w:rsidR="00E23C8A">
              <w:rPr>
                <w:rFonts w:cs="Arial"/>
                <w:color w:val="000000" w:themeColor="text1"/>
              </w:rPr>
              <w:t>3248</w:t>
            </w:r>
          </w:p>
        </w:tc>
      </w:tr>
      <w:tr w:rsidR="004A4BA8" w:rsidRPr="0003721E" w14:paraId="65570CA6" w14:textId="77777777" w:rsidTr="00DA11CF">
        <w:trPr>
          <w:cantSplit/>
          <w:trHeight w:val="155"/>
        </w:trPr>
        <w:tc>
          <w:tcPr>
            <w:tcW w:w="2746" w:type="dxa"/>
          </w:tcPr>
          <w:p w14:paraId="5054EF31" w14:textId="77777777" w:rsidR="004A4BA8" w:rsidRPr="0003721E" w:rsidRDefault="004A4BA8" w:rsidP="00DA11CF">
            <w:pPr>
              <w:jc w:val="right"/>
              <w:rPr>
                <w:rFonts w:cs="Arial"/>
                <w:color w:val="000000" w:themeColor="text1"/>
              </w:rPr>
            </w:pPr>
            <w:r w:rsidRPr="0003721E">
              <w:rPr>
                <w:rFonts w:cs="Arial"/>
                <w:color w:val="000000" w:themeColor="text1"/>
              </w:rPr>
              <w:t>$1.00</w:t>
            </w:r>
          </w:p>
        </w:tc>
        <w:tc>
          <w:tcPr>
            <w:tcW w:w="586" w:type="dxa"/>
          </w:tcPr>
          <w:p w14:paraId="6568FBB9" w14:textId="77777777" w:rsidR="004A4BA8" w:rsidRPr="0003721E" w:rsidRDefault="004A4BA8" w:rsidP="00DA11CF">
            <w:pPr>
              <w:jc w:val="center"/>
              <w:rPr>
                <w:rFonts w:cs="Arial"/>
                <w:color w:val="000000" w:themeColor="text1"/>
              </w:rPr>
            </w:pPr>
            <w:r w:rsidRPr="0003721E">
              <w:rPr>
                <w:rFonts w:cs="Arial"/>
                <w:color w:val="000000" w:themeColor="text1"/>
              </w:rPr>
              <w:t>=</w:t>
            </w:r>
          </w:p>
        </w:tc>
        <w:tc>
          <w:tcPr>
            <w:tcW w:w="4300" w:type="dxa"/>
          </w:tcPr>
          <w:p w14:paraId="078DC8A5" w14:textId="3C618AAD" w:rsidR="004A4BA8" w:rsidRPr="0003721E" w:rsidRDefault="007044D8" w:rsidP="00DA11CF">
            <w:pPr>
              <w:rPr>
                <w:rFonts w:cs="Arial"/>
                <w:color w:val="000000" w:themeColor="text1"/>
              </w:rPr>
            </w:pPr>
            <w:r>
              <w:rPr>
                <w:rFonts w:cs="Arial"/>
                <w:color w:val="000000" w:themeColor="text1"/>
              </w:rPr>
              <w:t>3</w:t>
            </w:r>
            <w:r w:rsidR="004A4BA8" w:rsidRPr="0003721E">
              <w:rPr>
                <w:rFonts w:cs="Arial"/>
                <w:color w:val="000000" w:themeColor="text1"/>
              </w:rPr>
              <w:t>.</w:t>
            </w:r>
            <w:r>
              <w:rPr>
                <w:rFonts w:cs="Arial"/>
                <w:color w:val="000000" w:themeColor="text1"/>
              </w:rPr>
              <w:t>0785</w:t>
            </w:r>
            <w:r w:rsidR="00181BFA">
              <w:rPr>
                <w:rFonts w:cs="Arial"/>
                <w:color w:val="000000" w:themeColor="text1"/>
              </w:rPr>
              <w:t xml:space="preserve"> lari</w:t>
            </w:r>
          </w:p>
        </w:tc>
      </w:tr>
    </w:tbl>
    <w:p w14:paraId="578D2AAC" w14:textId="77777777" w:rsidR="004A4BA8" w:rsidRPr="0003721E" w:rsidRDefault="004A4BA8" w:rsidP="004A4BA8">
      <w:pPr>
        <w:rPr>
          <w:rFonts w:cs="Arial"/>
          <w:color w:val="000000" w:themeColor="text1"/>
        </w:rPr>
      </w:pPr>
    </w:p>
    <w:p w14:paraId="5DAAF7AD" w14:textId="77777777" w:rsidR="004A4BA8" w:rsidRPr="0003721E" w:rsidRDefault="004A4BA8" w:rsidP="004A4BA8">
      <w:pPr>
        <w:jc w:val="center"/>
        <w:rPr>
          <w:rFonts w:cs="Arial"/>
          <w:b/>
          <w:color w:val="000000" w:themeColor="text1"/>
        </w:rPr>
      </w:pPr>
      <w:r w:rsidRPr="0003721E">
        <w:rPr>
          <w:rFonts w:cs="Arial"/>
          <w:b/>
          <w:color w:val="000000" w:themeColor="text1"/>
        </w:rPr>
        <w:t>ABBREVIATIONS</w:t>
      </w:r>
    </w:p>
    <w:p w14:paraId="02EC96F8" w14:textId="77777777" w:rsidR="004A4BA8" w:rsidRPr="0003721E" w:rsidRDefault="004A4BA8" w:rsidP="004A4BA8">
      <w:pPr>
        <w:jc w:val="center"/>
        <w:rPr>
          <w:rFonts w:cs="Arial"/>
          <w:color w:val="000000" w:themeColor="text1"/>
        </w:rPr>
      </w:pPr>
    </w:p>
    <w:tbl>
      <w:tblPr>
        <w:tblW w:w="4037" w:type="pct"/>
        <w:tblInd w:w="1170" w:type="dxa"/>
        <w:tblLook w:val="0000" w:firstRow="0" w:lastRow="0" w:firstColumn="0" w:lastColumn="0" w:noHBand="0" w:noVBand="0"/>
      </w:tblPr>
      <w:tblGrid>
        <w:gridCol w:w="1254"/>
        <w:gridCol w:w="670"/>
        <w:gridCol w:w="5633"/>
      </w:tblGrid>
      <w:tr w:rsidR="00A9085C" w:rsidRPr="0003721E" w14:paraId="46A5876B" w14:textId="77777777" w:rsidTr="00FD06E7">
        <w:trPr>
          <w:trHeight w:val="314"/>
        </w:trPr>
        <w:tc>
          <w:tcPr>
            <w:tcW w:w="1254" w:type="dxa"/>
          </w:tcPr>
          <w:p w14:paraId="45B2C903" w14:textId="77777777" w:rsidR="00A9085C" w:rsidRPr="0003721E" w:rsidRDefault="00A9085C" w:rsidP="00DA11CF">
            <w:pPr>
              <w:rPr>
                <w:rFonts w:cs="Arial"/>
                <w:color w:val="000000" w:themeColor="text1"/>
              </w:rPr>
            </w:pPr>
            <w:r w:rsidRPr="0003721E">
              <w:rPr>
                <w:rFonts w:cs="Arial"/>
                <w:color w:val="000000" w:themeColor="text1"/>
              </w:rPr>
              <w:t>ADB</w:t>
            </w:r>
          </w:p>
          <w:p w14:paraId="27107AF5" w14:textId="3A6F4E1D" w:rsidR="00A9085C" w:rsidRPr="0003721E" w:rsidRDefault="00A9085C" w:rsidP="00DA11CF">
            <w:pPr>
              <w:rPr>
                <w:rFonts w:cs="Arial"/>
                <w:color w:val="000000" w:themeColor="text1"/>
              </w:rPr>
            </w:pPr>
            <w:r w:rsidRPr="0003721E">
              <w:rPr>
                <w:rFonts w:cs="Arial"/>
                <w:color w:val="000000" w:themeColor="text1"/>
              </w:rPr>
              <w:t>COVID-19</w:t>
            </w:r>
          </w:p>
        </w:tc>
        <w:tc>
          <w:tcPr>
            <w:tcW w:w="670" w:type="dxa"/>
          </w:tcPr>
          <w:p w14:paraId="3E49CC4A" w14:textId="77777777" w:rsidR="00A9085C" w:rsidRPr="0003721E" w:rsidRDefault="00A9085C" w:rsidP="00DA11CF">
            <w:pPr>
              <w:rPr>
                <w:rFonts w:cs="Arial"/>
                <w:color w:val="000000" w:themeColor="text1"/>
              </w:rPr>
            </w:pPr>
            <w:r w:rsidRPr="0003721E">
              <w:rPr>
                <w:rFonts w:cs="Arial"/>
                <w:color w:val="000000" w:themeColor="text1"/>
              </w:rPr>
              <w:t>–</w:t>
            </w:r>
          </w:p>
          <w:p w14:paraId="7E251CC8" w14:textId="4D299AAC" w:rsidR="00A9085C" w:rsidRPr="0003721E" w:rsidRDefault="00A9085C" w:rsidP="00DA11CF">
            <w:pPr>
              <w:rPr>
                <w:rFonts w:cs="Arial"/>
                <w:color w:val="000000" w:themeColor="text1"/>
              </w:rPr>
            </w:pPr>
            <w:r w:rsidRPr="0003721E">
              <w:rPr>
                <w:rFonts w:cs="Arial"/>
                <w:color w:val="000000" w:themeColor="text1"/>
              </w:rPr>
              <w:t>–</w:t>
            </w:r>
          </w:p>
        </w:tc>
        <w:tc>
          <w:tcPr>
            <w:tcW w:w="5633" w:type="dxa"/>
          </w:tcPr>
          <w:p w14:paraId="70CE2EF9" w14:textId="77777777" w:rsidR="00A9085C" w:rsidRPr="0003721E" w:rsidRDefault="00A9085C" w:rsidP="00DA11CF">
            <w:pPr>
              <w:rPr>
                <w:rFonts w:cs="Arial"/>
                <w:color w:val="000000" w:themeColor="text1"/>
              </w:rPr>
            </w:pPr>
            <w:r w:rsidRPr="0003721E">
              <w:rPr>
                <w:rFonts w:cs="Arial"/>
                <w:color w:val="000000" w:themeColor="text1"/>
              </w:rPr>
              <w:t>Asian Development Bank</w:t>
            </w:r>
          </w:p>
          <w:p w14:paraId="6221D2EC" w14:textId="1EA61CE9" w:rsidR="00A9085C" w:rsidRPr="0003721E" w:rsidRDefault="00A9085C" w:rsidP="00DA11CF">
            <w:pPr>
              <w:rPr>
                <w:rFonts w:cs="Arial"/>
                <w:color w:val="000000" w:themeColor="text1"/>
              </w:rPr>
            </w:pPr>
            <w:r w:rsidRPr="0003721E">
              <w:rPr>
                <w:rFonts w:cs="Arial"/>
                <w:color w:val="000000" w:themeColor="text1"/>
              </w:rPr>
              <w:t xml:space="preserve">coronavirus disease </w:t>
            </w:r>
          </w:p>
        </w:tc>
      </w:tr>
      <w:tr w:rsidR="00A9085C" w:rsidRPr="0003721E" w14:paraId="46DE4E1B" w14:textId="77777777" w:rsidTr="00FD06E7">
        <w:trPr>
          <w:trHeight w:val="314"/>
        </w:trPr>
        <w:tc>
          <w:tcPr>
            <w:tcW w:w="1254" w:type="dxa"/>
          </w:tcPr>
          <w:p w14:paraId="360D0B4A" w14:textId="6B40F93F" w:rsidR="00A9085C" w:rsidRPr="0003721E" w:rsidRDefault="00A9085C" w:rsidP="00DA11CF">
            <w:pPr>
              <w:rPr>
                <w:rFonts w:cs="Arial"/>
                <w:color w:val="000000" w:themeColor="text1"/>
              </w:rPr>
            </w:pPr>
            <w:r w:rsidRPr="0003721E">
              <w:rPr>
                <w:rFonts w:cs="Arial"/>
                <w:color w:val="000000" w:themeColor="text1"/>
              </w:rPr>
              <w:t>GDP</w:t>
            </w:r>
          </w:p>
        </w:tc>
        <w:tc>
          <w:tcPr>
            <w:tcW w:w="670" w:type="dxa"/>
          </w:tcPr>
          <w:p w14:paraId="43CF40CC" w14:textId="326F15C9" w:rsidR="00A9085C" w:rsidRPr="0003721E" w:rsidRDefault="00A9085C" w:rsidP="00DA11CF">
            <w:pPr>
              <w:rPr>
                <w:rFonts w:cs="Arial"/>
                <w:color w:val="000000" w:themeColor="text1"/>
              </w:rPr>
            </w:pPr>
            <w:r w:rsidRPr="0003721E">
              <w:rPr>
                <w:rFonts w:cs="Arial"/>
                <w:color w:val="000000" w:themeColor="text1"/>
              </w:rPr>
              <w:t>–</w:t>
            </w:r>
          </w:p>
        </w:tc>
        <w:tc>
          <w:tcPr>
            <w:tcW w:w="5633" w:type="dxa"/>
          </w:tcPr>
          <w:p w14:paraId="6BC6DB77" w14:textId="656950DB" w:rsidR="00A9085C" w:rsidRPr="0003721E" w:rsidRDefault="00A9085C" w:rsidP="00DA11CF">
            <w:pPr>
              <w:rPr>
                <w:rFonts w:cs="Arial"/>
                <w:color w:val="000000" w:themeColor="text1"/>
              </w:rPr>
            </w:pPr>
            <w:r w:rsidRPr="0003721E">
              <w:rPr>
                <w:rFonts w:cs="Arial"/>
                <w:color w:val="000000" w:themeColor="text1"/>
              </w:rPr>
              <w:t>gross domestic product</w:t>
            </w:r>
          </w:p>
        </w:tc>
      </w:tr>
      <w:tr w:rsidR="00C3694A" w:rsidRPr="0003721E" w14:paraId="2BF1125B" w14:textId="77777777" w:rsidTr="00FD06E7">
        <w:trPr>
          <w:trHeight w:val="314"/>
        </w:trPr>
        <w:tc>
          <w:tcPr>
            <w:tcW w:w="1254" w:type="dxa"/>
          </w:tcPr>
          <w:p w14:paraId="4C056045" w14:textId="77777777" w:rsidR="00C3694A" w:rsidRDefault="003C200D" w:rsidP="00DA11CF">
            <w:pPr>
              <w:rPr>
                <w:rFonts w:cs="Arial"/>
                <w:color w:val="000000" w:themeColor="text1"/>
              </w:rPr>
            </w:pPr>
            <w:r>
              <w:rPr>
                <w:rFonts w:cs="Arial"/>
                <w:color w:val="000000" w:themeColor="text1"/>
              </w:rPr>
              <w:t>IMF</w:t>
            </w:r>
          </w:p>
          <w:p w14:paraId="2917BA9E" w14:textId="77777777" w:rsidR="00152938" w:rsidRPr="00152938" w:rsidRDefault="000C6648" w:rsidP="00152938">
            <w:pPr>
              <w:rPr>
                <w:rFonts w:cs="Arial"/>
                <w:color w:val="000000" w:themeColor="text1"/>
              </w:rPr>
            </w:pPr>
            <w:r>
              <w:rPr>
                <w:rFonts w:cs="Arial"/>
                <w:color w:val="000000" w:themeColor="text1"/>
              </w:rPr>
              <w:t>MEL</w:t>
            </w:r>
          </w:p>
          <w:p w14:paraId="369C1C80" w14:textId="61701A50" w:rsidR="00EC6D00" w:rsidRDefault="00EC6D00" w:rsidP="00DA11CF">
            <w:pPr>
              <w:rPr>
                <w:rFonts w:cs="Arial"/>
                <w:color w:val="000000" w:themeColor="text1"/>
              </w:rPr>
            </w:pPr>
            <w:r>
              <w:rPr>
                <w:rFonts w:cs="Arial"/>
                <w:color w:val="000000" w:themeColor="text1"/>
              </w:rPr>
              <w:t>MOESD</w:t>
            </w:r>
          </w:p>
          <w:p w14:paraId="65AF55B5" w14:textId="58F17E15" w:rsidR="00C3694A" w:rsidRPr="0003721E" w:rsidRDefault="000C6648" w:rsidP="00DA11CF">
            <w:pPr>
              <w:rPr>
                <w:rFonts w:cs="Arial"/>
                <w:color w:val="000000" w:themeColor="text1"/>
              </w:rPr>
            </w:pPr>
            <w:r>
              <w:rPr>
                <w:rFonts w:cs="Arial"/>
                <w:color w:val="000000" w:themeColor="text1"/>
              </w:rPr>
              <w:t>MOF</w:t>
            </w:r>
          </w:p>
        </w:tc>
        <w:tc>
          <w:tcPr>
            <w:tcW w:w="670" w:type="dxa"/>
          </w:tcPr>
          <w:p w14:paraId="628E11F1" w14:textId="77777777" w:rsidR="00C3694A" w:rsidRDefault="003C200D" w:rsidP="00DA11CF">
            <w:pPr>
              <w:rPr>
                <w:rFonts w:cs="Arial"/>
                <w:color w:val="000000" w:themeColor="text1"/>
              </w:rPr>
            </w:pPr>
            <w:r>
              <w:rPr>
                <w:rFonts w:cs="Arial"/>
                <w:color w:val="000000" w:themeColor="text1"/>
              </w:rPr>
              <w:t>–</w:t>
            </w:r>
          </w:p>
          <w:p w14:paraId="3EF91775" w14:textId="77777777" w:rsidR="00EC6D00" w:rsidRDefault="00EC6D00" w:rsidP="00DA11CF">
            <w:pPr>
              <w:rPr>
                <w:rFonts w:cs="Arial"/>
                <w:color w:val="000000" w:themeColor="text1"/>
              </w:rPr>
            </w:pPr>
            <w:r>
              <w:rPr>
                <w:rFonts w:cs="Arial"/>
                <w:color w:val="000000" w:themeColor="text1"/>
              </w:rPr>
              <w:t>–</w:t>
            </w:r>
          </w:p>
          <w:p w14:paraId="46F8FC1F" w14:textId="77777777" w:rsidR="00EC6D00" w:rsidRDefault="00EC6D00" w:rsidP="00DA11CF">
            <w:pPr>
              <w:rPr>
                <w:rFonts w:cs="Arial"/>
                <w:color w:val="000000" w:themeColor="text1"/>
              </w:rPr>
            </w:pPr>
            <w:r>
              <w:rPr>
                <w:rFonts w:cs="Arial"/>
                <w:color w:val="000000" w:themeColor="text1"/>
              </w:rPr>
              <w:t>–</w:t>
            </w:r>
          </w:p>
          <w:p w14:paraId="1277F32C" w14:textId="61637821" w:rsidR="00C3694A" w:rsidRPr="0003721E" w:rsidRDefault="003C200D" w:rsidP="00DA11CF">
            <w:pPr>
              <w:rPr>
                <w:rFonts w:cs="Arial"/>
                <w:color w:val="000000" w:themeColor="text1"/>
              </w:rPr>
            </w:pPr>
            <w:r>
              <w:rPr>
                <w:rFonts w:cs="Arial"/>
                <w:color w:val="000000" w:themeColor="text1"/>
              </w:rPr>
              <w:t>–</w:t>
            </w:r>
          </w:p>
        </w:tc>
        <w:tc>
          <w:tcPr>
            <w:tcW w:w="5633" w:type="dxa"/>
          </w:tcPr>
          <w:p w14:paraId="6F31CF08" w14:textId="77777777" w:rsidR="003C200D" w:rsidRDefault="003C200D" w:rsidP="00DA11CF">
            <w:pPr>
              <w:rPr>
                <w:rFonts w:cs="Arial"/>
                <w:color w:val="000000" w:themeColor="text1"/>
              </w:rPr>
            </w:pPr>
            <w:r>
              <w:rPr>
                <w:rFonts w:cs="Arial"/>
                <w:color w:val="000000" w:themeColor="text1"/>
              </w:rPr>
              <w:t>International Monetary Fund</w:t>
            </w:r>
          </w:p>
          <w:p w14:paraId="13E1CC46" w14:textId="77777777" w:rsidR="00152938" w:rsidRPr="00152938" w:rsidRDefault="000C6648" w:rsidP="00152938">
            <w:pPr>
              <w:rPr>
                <w:rFonts w:cs="Arial"/>
                <w:color w:val="000000" w:themeColor="text1"/>
              </w:rPr>
            </w:pPr>
            <w:r w:rsidRPr="000C6648">
              <w:rPr>
                <w:rFonts w:cs="Arial"/>
                <w:color w:val="000000" w:themeColor="text1"/>
              </w:rPr>
              <w:t>Monitoring, Evaluation and Learning</w:t>
            </w:r>
          </w:p>
          <w:p w14:paraId="638B4B4B" w14:textId="5209FAF1" w:rsidR="00EC6D00" w:rsidRDefault="00EC6D00" w:rsidP="00DA11CF">
            <w:pPr>
              <w:rPr>
                <w:rFonts w:cs="Arial"/>
                <w:color w:val="000000" w:themeColor="text1"/>
              </w:rPr>
            </w:pPr>
            <w:r w:rsidRPr="00EC6D00">
              <w:rPr>
                <w:rFonts w:cs="Arial"/>
                <w:color w:val="000000" w:themeColor="text1"/>
              </w:rPr>
              <w:t>Ministry of Economy and Sustainable Development</w:t>
            </w:r>
          </w:p>
          <w:p w14:paraId="1EB8A079" w14:textId="730D33ED" w:rsidR="00C3694A" w:rsidRPr="0003721E" w:rsidRDefault="000C6648" w:rsidP="00DA11CF">
            <w:pPr>
              <w:rPr>
                <w:rFonts w:cs="Arial"/>
                <w:color w:val="000000" w:themeColor="text1"/>
              </w:rPr>
            </w:pPr>
            <w:r>
              <w:rPr>
                <w:rFonts w:cs="Arial"/>
                <w:color w:val="000000" w:themeColor="text1"/>
              </w:rPr>
              <w:t>Ministry of Finance</w:t>
            </w:r>
          </w:p>
        </w:tc>
      </w:tr>
      <w:tr w:rsidR="00A9085C" w:rsidRPr="0003721E" w14:paraId="33AB947F" w14:textId="77777777" w:rsidTr="00FD06E7">
        <w:trPr>
          <w:trHeight w:val="314"/>
        </w:trPr>
        <w:tc>
          <w:tcPr>
            <w:tcW w:w="1254" w:type="dxa"/>
          </w:tcPr>
          <w:p w14:paraId="0E9D7C8F" w14:textId="10842CF5" w:rsidR="00A9085C" w:rsidRPr="0003721E" w:rsidRDefault="00A9085C" w:rsidP="00DA11CF">
            <w:pPr>
              <w:rPr>
                <w:rFonts w:cs="Arial"/>
                <w:color w:val="000000" w:themeColor="text1"/>
              </w:rPr>
            </w:pPr>
            <w:r w:rsidRPr="0003721E">
              <w:rPr>
                <w:rFonts w:cs="Arial"/>
                <w:color w:val="000000" w:themeColor="text1"/>
              </w:rPr>
              <w:t>MO</w:t>
            </w:r>
            <w:r>
              <w:rPr>
                <w:rFonts w:cs="Arial"/>
                <w:color w:val="000000" w:themeColor="text1"/>
              </w:rPr>
              <w:t>ILHSA</w:t>
            </w:r>
          </w:p>
          <w:p w14:paraId="57A3AC87" w14:textId="77777777" w:rsidR="00A9085C" w:rsidRDefault="00A9085C" w:rsidP="00DA11CF">
            <w:pPr>
              <w:rPr>
                <w:rFonts w:cs="Arial"/>
                <w:color w:val="000000" w:themeColor="text1"/>
              </w:rPr>
            </w:pPr>
          </w:p>
          <w:p w14:paraId="4AC0342B" w14:textId="75DE830A" w:rsidR="00A9085C" w:rsidRPr="0003721E" w:rsidRDefault="00A9085C" w:rsidP="00DA11CF">
            <w:pPr>
              <w:rPr>
                <w:rFonts w:cs="Arial"/>
                <w:color w:val="000000" w:themeColor="text1"/>
              </w:rPr>
            </w:pPr>
            <w:r w:rsidRPr="0003721E">
              <w:rPr>
                <w:rFonts w:cs="Arial"/>
                <w:color w:val="000000" w:themeColor="text1"/>
              </w:rPr>
              <w:t>NB</w:t>
            </w:r>
            <w:r>
              <w:rPr>
                <w:rFonts w:cs="Arial"/>
                <w:color w:val="000000" w:themeColor="text1"/>
              </w:rPr>
              <w:t>G</w:t>
            </w:r>
          </w:p>
        </w:tc>
        <w:tc>
          <w:tcPr>
            <w:tcW w:w="670" w:type="dxa"/>
          </w:tcPr>
          <w:p w14:paraId="4A9E34A1" w14:textId="77777777" w:rsidR="00A9085C" w:rsidRPr="0003721E" w:rsidRDefault="00A9085C" w:rsidP="00DA11CF">
            <w:pPr>
              <w:rPr>
                <w:rFonts w:cs="Arial"/>
                <w:color w:val="000000" w:themeColor="text1"/>
              </w:rPr>
            </w:pPr>
            <w:r w:rsidRPr="0003721E">
              <w:rPr>
                <w:rFonts w:cs="Arial"/>
                <w:color w:val="000000" w:themeColor="text1"/>
              </w:rPr>
              <w:t>–</w:t>
            </w:r>
          </w:p>
          <w:p w14:paraId="0D5E5209" w14:textId="77777777" w:rsidR="00A9085C" w:rsidRDefault="00A9085C" w:rsidP="00DA11CF">
            <w:pPr>
              <w:rPr>
                <w:rFonts w:cs="Arial"/>
                <w:color w:val="000000" w:themeColor="text1"/>
              </w:rPr>
            </w:pPr>
          </w:p>
          <w:p w14:paraId="3255EA9E" w14:textId="64543411" w:rsidR="00A9085C" w:rsidRPr="0003721E" w:rsidRDefault="00A9085C" w:rsidP="00DA11CF">
            <w:pPr>
              <w:rPr>
                <w:rFonts w:cs="Arial"/>
                <w:color w:val="000000" w:themeColor="text1"/>
              </w:rPr>
            </w:pPr>
            <w:r w:rsidRPr="0003721E">
              <w:rPr>
                <w:rFonts w:cs="Arial"/>
                <w:color w:val="000000" w:themeColor="text1"/>
              </w:rPr>
              <w:t>–</w:t>
            </w:r>
          </w:p>
        </w:tc>
        <w:tc>
          <w:tcPr>
            <w:tcW w:w="5633" w:type="dxa"/>
          </w:tcPr>
          <w:p w14:paraId="251678FB" w14:textId="008AB526" w:rsidR="00A9085C" w:rsidRPr="0003721E" w:rsidRDefault="00A9085C" w:rsidP="00DA11CF">
            <w:pPr>
              <w:rPr>
                <w:rFonts w:cs="Arial"/>
                <w:color w:val="000000" w:themeColor="text1"/>
              </w:rPr>
            </w:pPr>
            <w:r w:rsidRPr="0003721E">
              <w:rPr>
                <w:rFonts w:cs="Arial"/>
                <w:color w:val="000000" w:themeColor="text1"/>
              </w:rPr>
              <w:t xml:space="preserve">Ministry of </w:t>
            </w:r>
            <w:r>
              <w:rPr>
                <w:rFonts w:cs="Arial"/>
                <w:color w:val="000000" w:themeColor="text1"/>
              </w:rPr>
              <w:t>Internally Displaced Persons from the Occupied Territories, Labour, Health and Social Affairs</w:t>
            </w:r>
          </w:p>
          <w:p w14:paraId="6A2BF6E5" w14:textId="7CBC9032" w:rsidR="00A9085C" w:rsidRPr="0003721E" w:rsidRDefault="00A9085C" w:rsidP="00DA11CF">
            <w:pPr>
              <w:rPr>
                <w:rFonts w:cs="Arial"/>
                <w:color w:val="000000" w:themeColor="text1"/>
              </w:rPr>
            </w:pPr>
            <w:r w:rsidRPr="0003721E">
              <w:rPr>
                <w:rFonts w:cs="Arial"/>
                <w:color w:val="000000" w:themeColor="text1"/>
              </w:rPr>
              <w:t xml:space="preserve">National Bank of </w:t>
            </w:r>
            <w:r>
              <w:rPr>
                <w:rFonts w:cs="Arial"/>
                <w:color w:val="000000" w:themeColor="text1"/>
              </w:rPr>
              <w:t>Georgia</w:t>
            </w:r>
          </w:p>
        </w:tc>
      </w:tr>
      <w:tr w:rsidR="00A9085C" w:rsidRPr="0003721E" w14:paraId="2146E62D" w14:textId="77777777" w:rsidTr="00FD06E7">
        <w:trPr>
          <w:trHeight w:val="314"/>
        </w:trPr>
        <w:tc>
          <w:tcPr>
            <w:tcW w:w="1254" w:type="dxa"/>
          </w:tcPr>
          <w:p w14:paraId="58BB556D" w14:textId="7CD4959A" w:rsidR="00DB1533" w:rsidRPr="00DB1533" w:rsidRDefault="00A9085C" w:rsidP="00DB1533">
            <w:pPr>
              <w:rPr>
                <w:rFonts w:cs="Arial"/>
                <w:color w:val="000000" w:themeColor="text1"/>
              </w:rPr>
            </w:pPr>
            <w:r w:rsidRPr="0003721E">
              <w:rPr>
                <w:rFonts w:cs="Arial"/>
                <w:color w:val="000000" w:themeColor="text1"/>
              </w:rPr>
              <w:t>PFM</w:t>
            </w:r>
          </w:p>
          <w:p w14:paraId="16FA7299" w14:textId="12F1CFAA" w:rsidR="00F8056B" w:rsidRDefault="00F8056B" w:rsidP="00DA11CF">
            <w:pPr>
              <w:rPr>
                <w:rFonts w:cs="Arial"/>
                <w:color w:val="000000" w:themeColor="text1"/>
              </w:rPr>
            </w:pPr>
            <w:r>
              <w:rPr>
                <w:rFonts w:cs="Arial"/>
                <w:color w:val="000000" w:themeColor="text1"/>
              </w:rPr>
              <w:t>PPA</w:t>
            </w:r>
          </w:p>
          <w:p w14:paraId="4E567BD6" w14:textId="2F7B93BE" w:rsidR="00192C02" w:rsidRDefault="00192C02" w:rsidP="00DA11CF">
            <w:pPr>
              <w:rPr>
                <w:rFonts w:cs="Arial"/>
                <w:color w:val="000000" w:themeColor="text1"/>
              </w:rPr>
            </w:pPr>
            <w:r>
              <w:rPr>
                <w:rFonts w:cs="Arial"/>
                <w:color w:val="000000" w:themeColor="text1"/>
              </w:rPr>
              <w:t>PPP</w:t>
            </w:r>
          </w:p>
          <w:p w14:paraId="2EA21DB0" w14:textId="58049B03" w:rsidR="00AF1061" w:rsidRPr="00AF1061" w:rsidRDefault="00A9085C" w:rsidP="00AF1061">
            <w:pPr>
              <w:rPr>
                <w:rFonts w:cs="Arial"/>
                <w:color w:val="000000" w:themeColor="text1"/>
              </w:rPr>
            </w:pPr>
            <w:r w:rsidRPr="0003721E">
              <w:rPr>
                <w:rFonts w:cs="Arial"/>
                <w:color w:val="000000" w:themeColor="text1"/>
              </w:rPr>
              <w:t>SME</w:t>
            </w:r>
          </w:p>
          <w:p w14:paraId="318AAE1F" w14:textId="09C65936" w:rsidR="00192C02" w:rsidRPr="0003721E" w:rsidRDefault="00192C02" w:rsidP="00DA11CF">
            <w:pPr>
              <w:rPr>
                <w:rFonts w:cs="Arial"/>
                <w:color w:val="000000" w:themeColor="text1"/>
              </w:rPr>
            </w:pPr>
            <w:r>
              <w:rPr>
                <w:rFonts w:cs="Arial"/>
                <w:color w:val="000000" w:themeColor="text1"/>
              </w:rPr>
              <w:t>SOE</w:t>
            </w:r>
          </w:p>
          <w:p w14:paraId="1C59AE19" w14:textId="657C3844" w:rsidR="00A9085C" w:rsidRDefault="00A9085C" w:rsidP="00DA11CF">
            <w:pPr>
              <w:rPr>
                <w:rFonts w:cs="Arial"/>
                <w:color w:val="000000" w:themeColor="text1"/>
              </w:rPr>
            </w:pPr>
            <w:r w:rsidRPr="0003721E">
              <w:rPr>
                <w:rFonts w:cs="Arial"/>
                <w:color w:val="000000" w:themeColor="text1"/>
              </w:rPr>
              <w:t>TA</w:t>
            </w:r>
          </w:p>
          <w:p w14:paraId="698784A2" w14:textId="44024C93" w:rsidR="00A9085C" w:rsidRPr="0003721E" w:rsidRDefault="00A9085C" w:rsidP="00DA11CF">
            <w:pPr>
              <w:rPr>
                <w:rFonts w:cs="Arial"/>
                <w:color w:val="000000" w:themeColor="text1"/>
              </w:rPr>
            </w:pPr>
            <w:r>
              <w:rPr>
                <w:rFonts w:cs="Arial"/>
                <w:color w:val="000000" w:themeColor="text1"/>
              </w:rPr>
              <w:t>TSA</w:t>
            </w:r>
          </w:p>
          <w:p w14:paraId="3778C1A9" w14:textId="23CB8673" w:rsidR="00A9085C" w:rsidRPr="0003721E" w:rsidRDefault="00A9085C" w:rsidP="00DA11CF">
            <w:pPr>
              <w:rPr>
                <w:rFonts w:cs="Arial"/>
                <w:color w:val="000000" w:themeColor="text1"/>
              </w:rPr>
            </w:pPr>
          </w:p>
        </w:tc>
        <w:tc>
          <w:tcPr>
            <w:tcW w:w="670" w:type="dxa"/>
          </w:tcPr>
          <w:p w14:paraId="1B25BF11" w14:textId="76A507EF" w:rsidR="00A9085C" w:rsidRDefault="00A9085C" w:rsidP="00490131">
            <w:pPr>
              <w:rPr>
                <w:rFonts w:cs="Arial"/>
                <w:color w:val="000000" w:themeColor="text1"/>
              </w:rPr>
            </w:pPr>
            <w:r w:rsidRPr="0003721E">
              <w:rPr>
                <w:rFonts w:cs="Arial"/>
                <w:color w:val="000000" w:themeColor="text1"/>
              </w:rPr>
              <w:t>–</w:t>
            </w:r>
          </w:p>
          <w:p w14:paraId="121FA1E8" w14:textId="77777777" w:rsidR="00A9085C" w:rsidRDefault="00A9085C" w:rsidP="00490131">
            <w:pPr>
              <w:rPr>
                <w:rFonts w:cs="Arial"/>
                <w:color w:val="000000" w:themeColor="text1"/>
              </w:rPr>
            </w:pPr>
            <w:r w:rsidRPr="0003721E">
              <w:rPr>
                <w:rFonts w:cs="Arial"/>
                <w:color w:val="000000" w:themeColor="text1"/>
              </w:rPr>
              <w:t>–</w:t>
            </w:r>
          </w:p>
          <w:p w14:paraId="6292F3A2" w14:textId="77777777" w:rsidR="00A9085C" w:rsidRDefault="00A9085C" w:rsidP="00490131">
            <w:pPr>
              <w:rPr>
                <w:rFonts w:cs="Arial"/>
                <w:color w:val="000000" w:themeColor="text1"/>
              </w:rPr>
            </w:pPr>
            <w:r w:rsidRPr="0003721E">
              <w:rPr>
                <w:rFonts w:cs="Arial"/>
                <w:color w:val="000000" w:themeColor="text1"/>
              </w:rPr>
              <w:t>–</w:t>
            </w:r>
          </w:p>
          <w:p w14:paraId="6F4B2E1E" w14:textId="32351E19" w:rsidR="00A9085C" w:rsidRDefault="00A9085C" w:rsidP="00DA11CF">
            <w:pPr>
              <w:rPr>
                <w:rFonts w:cs="Arial"/>
                <w:color w:val="000000" w:themeColor="text1"/>
              </w:rPr>
            </w:pPr>
            <w:r w:rsidRPr="0003721E">
              <w:rPr>
                <w:rFonts w:cs="Arial"/>
                <w:color w:val="000000" w:themeColor="text1"/>
              </w:rPr>
              <w:t>–</w:t>
            </w:r>
          </w:p>
          <w:p w14:paraId="0643C1D3" w14:textId="77777777" w:rsidR="00A9085C" w:rsidRDefault="00F8056B" w:rsidP="00DA11CF">
            <w:pPr>
              <w:rPr>
                <w:rFonts w:cs="Arial"/>
                <w:color w:val="000000" w:themeColor="text1"/>
              </w:rPr>
            </w:pPr>
            <w:r>
              <w:rPr>
                <w:rFonts w:cs="Arial"/>
                <w:color w:val="000000" w:themeColor="text1"/>
              </w:rPr>
              <w:t>–</w:t>
            </w:r>
          </w:p>
          <w:p w14:paraId="53AACCCA" w14:textId="77777777" w:rsidR="00F8056B" w:rsidRDefault="00F8056B" w:rsidP="00DA11CF">
            <w:pPr>
              <w:rPr>
                <w:rFonts w:cs="Arial"/>
                <w:color w:val="000000" w:themeColor="text1"/>
              </w:rPr>
            </w:pPr>
            <w:r>
              <w:rPr>
                <w:rFonts w:cs="Arial"/>
                <w:color w:val="000000" w:themeColor="text1"/>
              </w:rPr>
              <w:t>–</w:t>
            </w:r>
          </w:p>
          <w:p w14:paraId="71DC930C" w14:textId="5379C5D4" w:rsidR="00A9085C" w:rsidRPr="0003721E" w:rsidRDefault="00F8056B" w:rsidP="00DA11CF">
            <w:pPr>
              <w:rPr>
                <w:rFonts w:cs="Arial"/>
                <w:color w:val="000000" w:themeColor="text1"/>
              </w:rPr>
            </w:pPr>
            <w:r>
              <w:rPr>
                <w:rFonts w:cs="Arial"/>
                <w:color w:val="000000" w:themeColor="text1"/>
              </w:rPr>
              <w:t>–</w:t>
            </w:r>
          </w:p>
        </w:tc>
        <w:tc>
          <w:tcPr>
            <w:tcW w:w="5633" w:type="dxa"/>
          </w:tcPr>
          <w:p w14:paraId="360221F4" w14:textId="71525F87" w:rsidR="00DB1533" w:rsidRPr="00DB1533" w:rsidRDefault="00A9085C" w:rsidP="00DB1533">
            <w:pPr>
              <w:rPr>
                <w:rFonts w:cs="Arial"/>
                <w:color w:val="000000" w:themeColor="text1"/>
              </w:rPr>
            </w:pPr>
            <w:r w:rsidRPr="0003721E">
              <w:rPr>
                <w:rFonts w:cs="Arial"/>
                <w:color w:val="000000" w:themeColor="text1"/>
              </w:rPr>
              <w:t>public financial management</w:t>
            </w:r>
          </w:p>
          <w:p w14:paraId="7A90750A" w14:textId="5F933FFF" w:rsidR="00F8056B" w:rsidRDefault="00F8056B" w:rsidP="00DA11CF">
            <w:pPr>
              <w:rPr>
                <w:rFonts w:cs="Arial"/>
                <w:color w:val="000000" w:themeColor="text1"/>
              </w:rPr>
            </w:pPr>
            <w:r>
              <w:rPr>
                <w:rFonts w:cs="Arial"/>
                <w:color w:val="000000" w:themeColor="text1"/>
              </w:rPr>
              <w:t>power purchase agreement</w:t>
            </w:r>
          </w:p>
          <w:p w14:paraId="1DE8D456" w14:textId="3EFA6229" w:rsidR="00192C02" w:rsidRDefault="00192C02" w:rsidP="00DA11CF">
            <w:pPr>
              <w:rPr>
                <w:rFonts w:cs="Arial"/>
                <w:color w:val="000000" w:themeColor="text1"/>
              </w:rPr>
            </w:pPr>
            <w:r>
              <w:rPr>
                <w:rFonts w:cs="Arial"/>
                <w:color w:val="000000" w:themeColor="text1"/>
              </w:rPr>
              <w:t>public</w:t>
            </w:r>
            <w:r w:rsidR="00F8056B">
              <w:rPr>
                <w:rFonts w:cs="Arial"/>
                <w:color w:val="000000" w:themeColor="text1"/>
              </w:rPr>
              <w:t>-private partnership</w:t>
            </w:r>
          </w:p>
          <w:p w14:paraId="6B6D24A1" w14:textId="77777777" w:rsidR="00AF1061" w:rsidRPr="00AF1061" w:rsidRDefault="00A9085C" w:rsidP="00AF1061">
            <w:pPr>
              <w:rPr>
                <w:rFonts w:cs="Arial"/>
                <w:color w:val="000000" w:themeColor="text1"/>
              </w:rPr>
            </w:pPr>
            <w:r w:rsidRPr="0003721E">
              <w:rPr>
                <w:rFonts w:cs="Arial"/>
                <w:color w:val="000000" w:themeColor="text1"/>
              </w:rPr>
              <w:t>small and medium-sized enterprise</w:t>
            </w:r>
          </w:p>
          <w:p w14:paraId="791C044F" w14:textId="2C96C1D4" w:rsidR="00192C02" w:rsidRPr="0003721E" w:rsidRDefault="00192C02" w:rsidP="00DA11CF">
            <w:pPr>
              <w:rPr>
                <w:rFonts w:cs="Arial"/>
                <w:color w:val="000000" w:themeColor="text1"/>
              </w:rPr>
            </w:pPr>
            <w:r>
              <w:rPr>
                <w:rFonts w:cs="Arial"/>
                <w:color w:val="000000" w:themeColor="text1"/>
              </w:rPr>
              <w:t>state-owned enterprise</w:t>
            </w:r>
          </w:p>
          <w:p w14:paraId="55231DC3" w14:textId="77777777" w:rsidR="00A9085C" w:rsidRPr="0003721E" w:rsidRDefault="00A9085C" w:rsidP="00DA11CF">
            <w:pPr>
              <w:rPr>
                <w:rFonts w:cs="Arial"/>
                <w:color w:val="000000" w:themeColor="text1"/>
              </w:rPr>
            </w:pPr>
            <w:r w:rsidRPr="0003721E">
              <w:rPr>
                <w:rFonts w:cs="Arial"/>
                <w:color w:val="000000" w:themeColor="text1"/>
              </w:rPr>
              <w:t>technical assistance</w:t>
            </w:r>
          </w:p>
          <w:p w14:paraId="6BC473DA" w14:textId="796D7A99" w:rsidR="00A9085C" w:rsidRDefault="00A9085C" w:rsidP="00DA11CF">
            <w:pPr>
              <w:rPr>
                <w:rFonts w:cs="Arial"/>
                <w:color w:val="000000" w:themeColor="text1"/>
              </w:rPr>
            </w:pPr>
            <w:r>
              <w:rPr>
                <w:rFonts w:cs="Arial"/>
                <w:color w:val="000000" w:themeColor="text1"/>
              </w:rPr>
              <w:t>Targeted Social Assistance</w:t>
            </w:r>
          </w:p>
          <w:p w14:paraId="3F39A39F" w14:textId="7D612F14" w:rsidR="00A9085C" w:rsidRPr="0003721E" w:rsidRDefault="00A9085C" w:rsidP="00DA11CF">
            <w:pPr>
              <w:rPr>
                <w:rFonts w:cs="Arial"/>
                <w:color w:val="000000" w:themeColor="text1"/>
              </w:rPr>
            </w:pPr>
          </w:p>
        </w:tc>
      </w:tr>
    </w:tbl>
    <w:p w14:paraId="37F916E7" w14:textId="77777777" w:rsidR="004A4BA8" w:rsidRPr="0003721E" w:rsidRDefault="004A4BA8" w:rsidP="004A4BA8">
      <w:pPr>
        <w:rPr>
          <w:rFonts w:cs="Arial"/>
        </w:rPr>
      </w:pPr>
    </w:p>
    <w:p w14:paraId="69F06B7D" w14:textId="77777777" w:rsidR="004A4BA8" w:rsidRPr="0003721E" w:rsidRDefault="004A4BA8" w:rsidP="004A4BA8">
      <w:pPr>
        <w:jc w:val="center"/>
        <w:rPr>
          <w:rFonts w:cs="Arial"/>
        </w:rPr>
      </w:pPr>
      <w:r w:rsidRPr="0003721E">
        <w:rPr>
          <w:rFonts w:cs="Arial"/>
          <w:b/>
        </w:rPr>
        <w:t>NOTE</w:t>
      </w:r>
    </w:p>
    <w:p w14:paraId="475896DE" w14:textId="77777777" w:rsidR="004A4BA8" w:rsidRPr="0003721E" w:rsidRDefault="004A4BA8" w:rsidP="004A4BA8">
      <w:pPr>
        <w:jc w:val="center"/>
        <w:rPr>
          <w:rFonts w:cs="Arial"/>
          <w:color w:val="000000"/>
        </w:rPr>
      </w:pPr>
      <w:r w:rsidRPr="0003721E">
        <w:rPr>
          <w:rFonts w:cs="Arial"/>
          <w:color w:val="000000"/>
        </w:rPr>
        <w:t>In this report, “$” refers to United States dollars.</w:t>
      </w:r>
    </w:p>
    <w:p w14:paraId="4E1A5AA9" w14:textId="77777777" w:rsidR="001156C6" w:rsidRDefault="001156C6" w:rsidP="00F93BBA"/>
    <w:p w14:paraId="6414DAA9" w14:textId="77777777" w:rsidR="001156C6" w:rsidRDefault="001156C6" w:rsidP="00F93BBA"/>
    <w:p w14:paraId="13785767" w14:textId="77777777" w:rsidR="004A4BA8" w:rsidRDefault="004A4BA8" w:rsidP="001F0587">
      <w:pPr>
        <w:autoSpaceDE w:val="0"/>
        <w:autoSpaceDN w:val="0"/>
        <w:adjustRightInd w:val="0"/>
        <w:rPr>
          <w:b/>
        </w:rPr>
        <w:sectPr w:rsidR="004A4BA8" w:rsidSect="00342CFF">
          <w:headerReference w:type="default" r:id="rId18"/>
          <w:footerReference w:type="default" r:id="rId19"/>
          <w:footnotePr>
            <w:numRestart w:val="eachSect"/>
          </w:footnotePr>
          <w:endnotePr>
            <w:numRestart w:val="eachSect"/>
          </w:endnotePr>
          <w:pgSz w:w="12240" w:h="15840"/>
          <w:pgMar w:top="1440" w:right="1440" w:bottom="1440" w:left="1440" w:header="907" w:footer="1296" w:gutter="0"/>
          <w:cols w:space="720"/>
          <w:noEndnote/>
          <w:titlePg/>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88"/>
        <w:gridCol w:w="6862"/>
      </w:tblGrid>
      <w:tr w:rsidR="00244FB5" w:rsidRPr="00BD4E7D" w14:paraId="2C1C38FC" w14:textId="77777777" w:rsidTr="00BF0C16">
        <w:trPr>
          <w:jc w:val="center"/>
        </w:trPr>
        <w:tc>
          <w:tcPr>
            <w:tcW w:w="2488" w:type="dxa"/>
            <w:tcBorders>
              <w:bottom w:val="nil"/>
              <w:right w:val="nil"/>
            </w:tcBorders>
          </w:tcPr>
          <w:p w14:paraId="429B972D" w14:textId="77777777" w:rsidR="00244FB5" w:rsidRPr="00840B7F" w:rsidRDefault="00244FB5" w:rsidP="00BF0C16">
            <w:pPr>
              <w:keepNext/>
              <w:jc w:val="left"/>
            </w:pPr>
            <w:r w:rsidRPr="00CB6EEA">
              <w:rPr>
                <w:b/>
              </w:rPr>
              <w:lastRenderedPageBreak/>
              <w:t>Vice</w:t>
            </w:r>
            <w:r>
              <w:rPr>
                <w:b/>
              </w:rPr>
              <w:t>-</w:t>
            </w:r>
            <w:r w:rsidRPr="00CB6EEA">
              <w:rPr>
                <w:b/>
              </w:rPr>
              <w:t>President</w:t>
            </w:r>
          </w:p>
        </w:tc>
        <w:tc>
          <w:tcPr>
            <w:tcW w:w="6862" w:type="dxa"/>
            <w:tcBorders>
              <w:left w:val="nil"/>
              <w:bottom w:val="nil"/>
            </w:tcBorders>
          </w:tcPr>
          <w:p w14:paraId="66036A91" w14:textId="77777777" w:rsidR="00244FB5" w:rsidRPr="0003593A" w:rsidRDefault="00244FB5" w:rsidP="00BF0C16">
            <w:pPr>
              <w:keepNext/>
              <w:jc w:val="left"/>
            </w:pPr>
            <w:r w:rsidRPr="0003593A">
              <w:t>Shixin Chen, Operations 1</w:t>
            </w:r>
          </w:p>
        </w:tc>
      </w:tr>
      <w:tr w:rsidR="00244FB5" w:rsidRPr="00BD4E7D" w14:paraId="503CE973" w14:textId="77777777" w:rsidTr="00BF0C16">
        <w:trPr>
          <w:jc w:val="center"/>
        </w:trPr>
        <w:tc>
          <w:tcPr>
            <w:tcW w:w="2488" w:type="dxa"/>
            <w:tcBorders>
              <w:top w:val="nil"/>
              <w:bottom w:val="nil"/>
              <w:right w:val="nil"/>
            </w:tcBorders>
          </w:tcPr>
          <w:p w14:paraId="51C2DC22" w14:textId="77777777" w:rsidR="00244FB5" w:rsidRPr="00CB6EEA" w:rsidRDefault="00244FB5" w:rsidP="00BF0C16">
            <w:pPr>
              <w:keepNext/>
              <w:jc w:val="left"/>
            </w:pPr>
            <w:r w:rsidRPr="00840B7F">
              <w:rPr>
                <w:b/>
              </w:rPr>
              <w:t>Director General</w:t>
            </w:r>
          </w:p>
        </w:tc>
        <w:tc>
          <w:tcPr>
            <w:tcW w:w="6862" w:type="dxa"/>
            <w:tcBorders>
              <w:top w:val="nil"/>
              <w:left w:val="nil"/>
              <w:bottom w:val="nil"/>
            </w:tcBorders>
          </w:tcPr>
          <w:p w14:paraId="3B83F438" w14:textId="77777777" w:rsidR="00244FB5" w:rsidRPr="0003593A" w:rsidRDefault="00244FB5" w:rsidP="00BF0C16">
            <w:pPr>
              <w:keepNext/>
              <w:jc w:val="left"/>
            </w:pPr>
            <w:r w:rsidRPr="0003593A">
              <w:t xml:space="preserve">Werner E. Liepach, Central and West Asia Department (CWRD), </w:t>
            </w:r>
          </w:p>
        </w:tc>
      </w:tr>
      <w:tr w:rsidR="00244FB5" w:rsidRPr="00BD4E7D" w14:paraId="695B7ADC" w14:textId="77777777" w:rsidTr="00BF0C16">
        <w:trPr>
          <w:jc w:val="center"/>
        </w:trPr>
        <w:tc>
          <w:tcPr>
            <w:tcW w:w="2488" w:type="dxa"/>
            <w:tcBorders>
              <w:top w:val="nil"/>
              <w:bottom w:val="nil"/>
              <w:right w:val="nil"/>
            </w:tcBorders>
          </w:tcPr>
          <w:p w14:paraId="4BD4CA33" w14:textId="77777777" w:rsidR="00244FB5" w:rsidRPr="00840B7F" w:rsidRDefault="00244FB5" w:rsidP="00BF0C16">
            <w:pPr>
              <w:keepNext/>
              <w:jc w:val="left"/>
            </w:pPr>
            <w:r w:rsidRPr="00CB6EEA">
              <w:rPr>
                <w:b/>
              </w:rPr>
              <w:t>Director</w:t>
            </w:r>
          </w:p>
        </w:tc>
        <w:tc>
          <w:tcPr>
            <w:tcW w:w="6862" w:type="dxa"/>
            <w:tcBorders>
              <w:top w:val="nil"/>
              <w:left w:val="nil"/>
              <w:bottom w:val="nil"/>
            </w:tcBorders>
          </w:tcPr>
          <w:p w14:paraId="3D5DF62C" w14:textId="2D93039D" w:rsidR="00244FB5" w:rsidRDefault="00244FB5" w:rsidP="00BF0C16">
            <w:pPr>
              <w:keepNext/>
              <w:jc w:val="left"/>
            </w:pPr>
            <w:r w:rsidRPr="0003593A">
              <w:t xml:space="preserve">Tariq H. Niazi, Public Management, Financial Sector, and Trade Division </w:t>
            </w:r>
            <w:r>
              <w:t>(</w:t>
            </w:r>
            <w:r w:rsidRPr="0003593A">
              <w:t>CW</w:t>
            </w:r>
            <w:r>
              <w:t>PF), CWRD</w:t>
            </w:r>
          </w:p>
          <w:p w14:paraId="58B9C22F" w14:textId="32519E00" w:rsidR="00244FB5" w:rsidRPr="0003593A" w:rsidRDefault="00244FB5" w:rsidP="00BF0C16">
            <w:pPr>
              <w:keepNext/>
              <w:jc w:val="left"/>
            </w:pPr>
          </w:p>
        </w:tc>
      </w:tr>
      <w:tr w:rsidR="00244FB5" w:rsidRPr="00175F6B" w14:paraId="5644071D" w14:textId="77777777" w:rsidTr="00BF0C16">
        <w:trPr>
          <w:jc w:val="center"/>
        </w:trPr>
        <w:tc>
          <w:tcPr>
            <w:tcW w:w="2488" w:type="dxa"/>
            <w:tcBorders>
              <w:top w:val="nil"/>
              <w:bottom w:val="nil"/>
              <w:right w:val="nil"/>
            </w:tcBorders>
          </w:tcPr>
          <w:p w14:paraId="51BC7E1D" w14:textId="77777777" w:rsidR="00244FB5" w:rsidRPr="00EE7959" w:rsidRDefault="00244FB5" w:rsidP="00BF0C16">
            <w:pPr>
              <w:keepNext/>
              <w:jc w:val="left"/>
              <w:rPr>
                <w:color w:val="000000" w:themeColor="text1"/>
              </w:rPr>
            </w:pPr>
            <w:r w:rsidRPr="00EE7959">
              <w:rPr>
                <w:b/>
                <w:color w:val="000000" w:themeColor="text1"/>
              </w:rPr>
              <w:t>Team leader</w:t>
            </w:r>
          </w:p>
        </w:tc>
        <w:tc>
          <w:tcPr>
            <w:tcW w:w="6862" w:type="dxa"/>
            <w:tcBorders>
              <w:top w:val="nil"/>
              <w:left w:val="nil"/>
              <w:bottom w:val="nil"/>
            </w:tcBorders>
          </w:tcPr>
          <w:p w14:paraId="473EFB85" w14:textId="77777777" w:rsidR="00244FB5" w:rsidRPr="0024564D" w:rsidRDefault="00244FB5" w:rsidP="00BF0C16">
            <w:pPr>
              <w:keepNext/>
              <w:jc w:val="left"/>
              <w:rPr>
                <w:color w:val="000000" w:themeColor="text1"/>
                <w:lang w:val="pt-PT"/>
              </w:rPr>
            </w:pPr>
            <w:r w:rsidRPr="0024564D">
              <w:rPr>
                <w:color w:val="000000" w:themeColor="text1"/>
                <w:lang w:val="pt-PT"/>
              </w:rPr>
              <w:t>Rogerio de Almeida Vieira de Sa, Young Professional, CW</w:t>
            </w:r>
            <w:r>
              <w:rPr>
                <w:color w:val="000000" w:themeColor="text1"/>
                <w:lang w:val="pt-PT"/>
              </w:rPr>
              <w:t>PF, CWRD</w:t>
            </w:r>
          </w:p>
        </w:tc>
      </w:tr>
      <w:tr w:rsidR="00244FB5" w:rsidRPr="00C5208B" w14:paraId="6E0CEACD" w14:textId="77777777" w:rsidTr="00BF0C16">
        <w:trPr>
          <w:jc w:val="center"/>
        </w:trPr>
        <w:tc>
          <w:tcPr>
            <w:tcW w:w="2488" w:type="dxa"/>
            <w:tcBorders>
              <w:top w:val="nil"/>
              <w:bottom w:val="nil"/>
              <w:right w:val="nil"/>
            </w:tcBorders>
          </w:tcPr>
          <w:p w14:paraId="7271BD7C" w14:textId="4A746CC7" w:rsidR="00244FB5" w:rsidRPr="00EE7959" w:rsidRDefault="00436FE0" w:rsidP="00BF0C16">
            <w:pPr>
              <w:keepNext/>
              <w:jc w:val="left"/>
              <w:rPr>
                <w:b/>
                <w:color w:val="000000" w:themeColor="text1"/>
              </w:rPr>
            </w:pPr>
            <w:r w:rsidRPr="00EE7959">
              <w:rPr>
                <w:b/>
                <w:color w:val="000000" w:themeColor="text1"/>
              </w:rPr>
              <w:t>Team members</w:t>
            </w:r>
          </w:p>
        </w:tc>
        <w:tc>
          <w:tcPr>
            <w:tcW w:w="6862" w:type="dxa"/>
            <w:tcBorders>
              <w:top w:val="nil"/>
              <w:left w:val="nil"/>
              <w:bottom w:val="nil"/>
            </w:tcBorders>
          </w:tcPr>
          <w:p w14:paraId="71C9B4E2" w14:textId="14082557" w:rsidR="00BD3853" w:rsidRDefault="00BD3853" w:rsidP="00BF0C16">
            <w:pPr>
              <w:keepNext/>
              <w:jc w:val="left"/>
              <w:rPr>
                <w:color w:val="000000" w:themeColor="text1"/>
              </w:rPr>
            </w:pPr>
            <w:r>
              <w:rPr>
                <w:color w:val="000000" w:themeColor="text1"/>
              </w:rPr>
              <w:t>Tatiana Golubko, Counsel, Office of the General Counsel</w:t>
            </w:r>
          </w:p>
          <w:p w14:paraId="570C4BDD" w14:textId="77777777" w:rsidR="00244FB5" w:rsidRDefault="00244FB5" w:rsidP="00BF0C16">
            <w:pPr>
              <w:keepNext/>
              <w:jc w:val="left"/>
              <w:rPr>
                <w:color w:val="000000" w:themeColor="text1"/>
              </w:rPr>
            </w:pPr>
            <w:r>
              <w:rPr>
                <w:color w:val="000000" w:themeColor="text1"/>
              </w:rPr>
              <w:t>Elinor Piano, Project Analyst, CWPF, CWRD</w:t>
            </w:r>
          </w:p>
          <w:p w14:paraId="1139B622" w14:textId="08B423E5" w:rsidR="001C7107" w:rsidRPr="00C5208B" w:rsidRDefault="00244FB5" w:rsidP="00BF0C16">
            <w:pPr>
              <w:keepNext/>
              <w:jc w:val="left"/>
              <w:rPr>
                <w:color w:val="000000" w:themeColor="text1"/>
              </w:rPr>
            </w:pPr>
            <w:r w:rsidRPr="7454D1C0">
              <w:rPr>
                <w:color w:val="000000" w:themeColor="text1"/>
              </w:rPr>
              <w:t xml:space="preserve">Kristian Rosbach, Economist, </w:t>
            </w:r>
            <w:r w:rsidRPr="00FC3769">
              <w:rPr>
                <w:color w:val="000000" w:themeColor="text1"/>
              </w:rPr>
              <w:t>Regional Cooperation and Operations Coordination Div</w:t>
            </w:r>
            <w:r>
              <w:rPr>
                <w:color w:val="000000" w:themeColor="text1"/>
              </w:rPr>
              <w:t>ision</w:t>
            </w:r>
            <w:r w:rsidRPr="00FC3769">
              <w:rPr>
                <w:color w:val="000000" w:themeColor="text1"/>
              </w:rPr>
              <w:t>, CWRD</w:t>
            </w:r>
          </w:p>
        </w:tc>
      </w:tr>
      <w:tr w:rsidR="00244FB5" w:rsidRPr="00C5208B" w14:paraId="67BA5F3F" w14:textId="77777777" w:rsidTr="00BF0C16">
        <w:trPr>
          <w:jc w:val="center"/>
        </w:trPr>
        <w:tc>
          <w:tcPr>
            <w:tcW w:w="2488" w:type="dxa"/>
            <w:tcBorders>
              <w:top w:val="nil"/>
              <w:bottom w:val="nil"/>
              <w:right w:val="nil"/>
            </w:tcBorders>
          </w:tcPr>
          <w:p w14:paraId="00989A03" w14:textId="77777777" w:rsidR="00244FB5" w:rsidRPr="00C5208B" w:rsidRDefault="00244FB5" w:rsidP="00BF0C16">
            <w:pPr>
              <w:keepNext/>
              <w:jc w:val="left"/>
              <w:rPr>
                <w:b/>
                <w:color w:val="000000" w:themeColor="text1"/>
              </w:rPr>
            </w:pPr>
          </w:p>
        </w:tc>
        <w:tc>
          <w:tcPr>
            <w:tcW w:w="6862" w:type="dxa"/>
            <w:tcBorders>
              <w:top w:val="nil"/>
              <w:left w:val="nil"/>
              <w:bottom w:val="nil"/>
            </w:tcBorders>
          </w:tcPr>
          <w:p w14:paraId="795908FA" w14:textId="77777777" w:rsidR="00244FB5" w:rsidRPr="00C5208B" w:rsidRDefault="00244FB5" w:rsidP="00BF0C16">
            <w:pPr>
              <w:keepNext/>
              <w:jc w:val="left"/>
              <w:rPr>
                <w:color w:val="000000" w:themeColor="text1"/>
              </w:rPr>
            </w:pPr>
            <w:r w:rsidRPr="00160E6D">
              <w:rPr>
                <w:color w:val="000000" w:themeColor="text1"/>
              </w:rPr>
              <w:t>Mariane Sual, Senior Operations Assistant, CW</w:t>
            </w:r>
            <w:r>
              <w:rPr>
                <w:color w:val="000000" w:themeColor="text1"/>
              </w:rPr>
              <w:t>PF, CWRD</w:t>
            </w:r>
          </w:p>
        </w:tc>
      </w:tr>
      <w:tr w:rsidR="00244FB5" w:rsidRPr="00C5208B" w14:paraId="71406AA3" w14:textId="77777777" w:rsidTr="00BF0C16">
        <w:trPr>
          <w:trHeight w:val="180"/>
          <w:jc w:val="center"/>
        </w:trPr>
        <w:tc>
          <w:tcPr>
            <w:tcW w:w="2488" w:type="dxa"/>
            <w:tcBorders>
              <w:top w:val="nil"/>
              <w:bottom w:val="nil"/>
              <w:right w:val="nil"/>
            </w:tcBorders>
          </w:tcPr>
          <w:p w14:paraId="73E4E600" w14:textId="77777777" w:rsidR="00244FB5" w:rsidRPr="00C5208B" w:rsidRDefault="00244FB5" w:rsidP="00BF0C16">
            <w:pPr>
              <w:keepNext/>
              <w:jc w:val="left"/>
              <w:rPr>
                <w:b/>
                <w:color w:val="000000" w:themeColor="text1"/>
              </w:rPr>
            </w:pPr>
          </w:p>
        </w:tc>
        <w:tc>
          <w:tcPr>
            <w:tcW w:w="6862" w:type="dxa"/>
            <w:tcBorders>
              <w:top w:val="nil"/>
              <w:left w:val="nil"/>
              <w:bottom w:val="nil"/>
            </w:tcBorders>
          </w:tcPr>
          <w:p w14:paraId="6D304E23" w14:textId="77777777" w:rsidR="00244FB5" w:rsidRDefault="00244FB5" w:rsidP="00BF0C16">
            <w:pPr>
              <w:keepNext/>
              <w:jc w:val="left"/>
              <w:rPr>
                <w:color w:val="000000" w:themeColor="text1"/>
              </w:rPr>
            </w:pPr>
            <w:r w:rsidRPr="7454D1C0">
              <w:rPr>
                <w:color w:val="000000" w:themeColor="text1"/>
              </w:rPr>
              <w:t xml:space="preserve">Tamar Tsiklauri, Project Analyst, </w:t>
            </w:r>
            <w:r>
              <w:rPr>
                <w:color w:val="000000" w:themeColor="text1"/>
              </w:rPr>
              <w:t>GRM, CWRD</w:t>
            </w:r>
          </w:p>
          <w:p w14:paraId="2F588058" w14:textId="576E7541" w:rsidR="00A60AB3" w:rsidRPr="00C5208B" w:rsidRDefault="00A60AB3" w:rsidP="00BF0C16">
            <w:pPr>
              <w:keepNext/>
              <w:jc w:val="left"/>
              <w:rPr>
                <w:color w:val="000000" w:themeColor="text1"/>
              </w:rPr>
            </w:pPr>
            <w:r w:rsidRPr="00A60AB3">
              <w:rPr>
                <w:color w:val="000000" w:themeColor="text1"/>
              </w:rPr>
              <w:t>Michiel Van der Auwera, Senior Financial Sector Specialist (Social Security), SDCC</w:t>
            </w:r>
          </w:p>
        </w:tc>
      </w:tr>
      <w:tr w:rsidR="00244FB5" w:rsidRPr="00BD4E7D" w14:paraId="65BA1008" w14:textId="77777777" w:rsidTr="00BF0C16">
        <w:trPr>
          <w:jc w:val="center"/>
        </w:trPr>
        <w:tc>
          <w:tcPr>
            <w:tcW w:w="2488" w:type="dxa"/>
            <w:tcBorders>
              <w:top w:val="nil"/>
              <w:bottom w:val="nil"/>
              <w:right w:val="nil"/>
            </w:tcBorders>
          </w:tcPr>
          <w:p w14:paraId="4F47D1AC" w14:textId="77777777" w:rsidR="00244FB5" w:rsidRPr="00EE7959" w:rsidRDefault="00244FB5" w:rsidP="00BF0C16">
            <w:pPr>
              <w:keepNext/>
              <w:jc w:val="left"/>
              <w:rPr>
                <w:b/>
                <w:color w:val="000000" w:themeColor="text1"/>
              </w:rPr>
            </w:pPr>
          </w:p>
        </w:tc>
        <w:tc>
          <w:tcPr>
            <w:tcW w:w="6862" w:type="dxa"/>
            <w:tcBorders>
              <w:top w:val="nil"/>
              <w:left w:val="nil"/>
              <w:bottom w:val="nil"/>
            </w:tcBorders>
          </w:tcPr>
          <w:p w14:paraId="1143810A" w14:textId="5E3797E7" w:rsidR="00244FB5" w:rsidRPr="7454D1C0" w:rsidRDefault="00244FB5" w:rsidP="00BF0C16">
            <w:pPr>
              <w:keepNext/>
              <w:jc w:val="left"/>
              <w:rPr>
                <w:color w:val="000000" w:themeColor="text1"/>
              </w:rPr>
            </w:pPr>
          </w:p>
        </w:tc>
      </w:tr>
      <w:tr w:rsidR="00244FB5" w:rsidRPr="00BD4E7D" w14:paraId="432D1BF2" w14:textId="77777777" w:rsidTr="00BF0C16">
        <w:trPr>
          <w:jc w:val="center"/>
        </w:trPr>
        <w:tc>
          <w:tcPr>
            <w:tcW w:w="2488" w:type="dxa"/>
            <w:tcBorders>
              <w:top w:val="nil"/>
              <w:bottom w:val="nil"/>
              <w:right w:val="nil"/>
            </w:tcBorders>
          </w:tcPr>
          <w:p w14:paraId="2E05F3F9" w14:textId="77777777" w:rsidR="00244FB5" w:rsidRPr="00F03D50" w:rsidRDefault="00244FB5" w:rsidP="00BF0C16">
            <w:pPr>
              <w:keepNext/>
              <w:jc w:val="left"/>
              <w:rPr>
                <w:b/>
                <w:bCs/>
              </w:rPr>
            </w:pPr>
            <w:r w:rsidRPr="00F03D50">
              <w:rPr>
                <w:rFonts w:cs="Arial"/>
                <w:b/>
                <w:bCs/>
              </w:rPr>
              <w:t>One ADB team</w:t>
            </w:r>
            <w:r w:rsidRPr="00F03D50">
              <w:rPr>
                <w:rFonts w:cs="Arial"/>
                <w:vertAlign w:val="superscript"/>
              </w:rPr>
              <w:t>a</w:t>
            </w:r>
          </w:p>
        </w:tc>
        <w:tc>
          <w:tcPr>
            <w:tcW w:w="6862" w:type="dxa"/>
            <w:tcBorders>
              <w:top w:val="nil"/>
              <w:left w:val="nil"/>
              <w:bottom w:val="nil"/>
            </w:tcBorders>
          </w:tcPr>
          <w:p w14:paraId="0341D137" w14:textId="051F3920" w:rsidR="00244FB5" w:rsidRDefault="00851F41" w:rsidP="00BF0C16">
            <w:pPr>
              <w:keepNext/>
              <w:jc w:val="left"/>
              <w:rPr>
                <w:color w:val="000000" w:themeColor="text1"/>
              </w:rPr>
            </w:pPr>
            <w:r>
              <w:rPr>
                <w:color w:val="000000" w:themeColor="text1"/>
              </w:rPr>
              <w:t xml:space="preserve">Zehra Abbas, </w:t>
            </w:r>
            <w:r w:rsidR="00CF4DFC" w:rsidRPr="00CF4DFC">
              <w:rPr>
                <w:color w:val="000000" w:themeColor="text1"/>
              </w:rPr>
              <w:t>Principal Environment Specialist</w:t>
            </w:r>
            <w:r w:rsidR="00CF4DFC">
              <w:rPr>
                <w:color w:val="000000" w:themeColor="text1"/>
              </w:rPr>
              <w:t xml:space="preserve">, </w:t>
            </w:r>
            <w:r w:rsidR="002C4925" w:rsidRPr="002C4925">
              <w:rPr>
                <w:color w:val="000000" w:themeColor="text1"/>
              </w:rPr>
              <w:t>Safeguards Division</w:t>
            </w:r>
            <w:r w:rsidR="002C4925">
              <w:rPr>
                <w:color w:val="000000" w:themeColor="text1"/>
              </w:rPr>
              <w:t xml:space="preserve"> (SDSS), </w:t>
            </w:r>
            <w:r w:rsidR="00A9085C" w:rsidRPr="00A9085C">
              <w:rPr>
                <w:color w:val="000000" w:themeColor="text1"/>
              </w:rPr>
              <w:t>Sustainable Development and Climate Change Department</w:t>
            </w:r>
            <w:r w:rsidR="00A9085C">
              <w:rPr>
                <w:color w:val="000000" w:themeColor="text1"/>
              </w:rPr>
              <w:t xml:space="preserve"> (SDCC)</w:t>
            </w:r>
          </w:p>
          <w:p w14:paraId="560A2856" w14:textId="1C0FD045" w:rsidR="006635DE" w:rsidRDefault="002351E8" w:rsidP="006635DE">
            <w:pPr>
              <w:keepNext/>
              <w:jc w:val="left"/>
              <w:rPr>
                <w:color w:val="000000" w:themeColor="text1"/>
              </w:rPr>
            </w:pPr>
            <w:r>
              <w:rPr>
                <w:color w:val="000000" w:themeColor="text1"/>
              </w:rPr>
              <w:t>Mary Margaret</w:t>
            </w:r>
            <w:r w:rsidR="00170F9E">
              <w:rPr>
                <w:color w:val="000000" w:themeColor="text1"/>
              </w:rPr>
              <w:t>h</w:t>
            </w:r>
            <w:r>
              <w:rPr>
                <w:color w:val="000000" w:themeColor="text1"/>
              </w:rPr>
              <w:t xml:space="preserve"> Bernus, </w:t>
            </w:r>
            <w:r w:rsidR="00170F9E" w:rsidRPr="00170F9E">
              <w:rPr>
                <w:color w:val="000000" w:themeColor="text1"/>
              </w:rPr>
              <w:t>Associate Financial Management Officer</w:t>
            </w:r>
            <w:r w:rsidR="00170F9E">
              <w:rPr>
                <w:color w:val="000000" w:themeColor="text1"/>
              </w:rPr>
              <w:t xml:space="preserve">, </w:t>
            </w:r>
            <w:r w:rsidR="00297A89">
              <w:rPr>
                <w:color w:val="000000" w:themeColor="text1"/>
              </w:rPr>
              <w:t>CWOD-PSG, CWRD</w:t>
            </w:r>
          </w:p>
          <w:p w14:paraId="37B31E8C" w14:textId="77777777" w:rsidR="005E24DF" w:rsidRDefault="00ED1896" w:rsidP="00BF0C16">
            <w:pPr>
              <w:keepNext/>
              <w:jc w:val="left"/>
              <w:rPr>
                <w:color w:val="000000" w:themeColor="text1"/>
              </w:rPr>
            </w:pPr>
            <w:r>
              <w:rPr>
                <w:color w:val="000000" w:themeColor="text1"/>
              </w:rPr>
              <w:t xml:space="preserve">Haidy </w:t>
            </w:r>
            <w:r w:rsidR="0003685F">
              <w:rPr>
                <w:color w:val="000000" w:themeColor="text1"/>
              </w:rPr>
              <w:t>Ear</w:t>
            </w:r>
            <w:r w:rsidR="00C254CB">
              <w:rPr>
                <w:color w:val="000000" w:themeColor="text1"/>
              </w:rPr>
              <w:t>-D</w:t>
            </w:r>
            <w:r w:rsidR="00F239C2">
              <w:rPr>
                <w:color w:val="000000" w:themeColor="text1"/>
              </w:rPr>
              <w:t>upuy</w:t>
            </w:r>
            <w:r w:rsidR="000F7B76">
              <w:rPr>
                <w:color w:val="000000" w:themeColor="text1"/>
              </w:rPr>
              <w:t xml:space="preserve">, </w:t>
            </w:r>
            <w:r w:rsidR="000F7B76" w:rsidRPr="000F7B76">
              <w:rPr>
                <w:color w:val="000000" w:themeColor="text1"/>
              </w:rPr>
              <w:t>Senior Social Development Specialist (Core Labor Standards)</w:t>
            </w:r>
            <w:r w:rsidR="000F7B76">
              <w:rPr>
                <w:color w:val="000000" w:themeColor="text1"/>
              </w:rPr>
              <w:t>, SDSS, SDCC</w:t>
            </w:r>
          </w:p>
          <w:p w14:paraId="355E9888" w14:textId="1C8B7DDA" w:rsidR="00815B47" w:rsidRDefault="00815B47" w:rsidP="00BF0C16">
            <w:pPr>
              <w:keepNext/>
              <w:jc w:val="left"/>
              <w:rPr>
                <w:color w:val="000000" w:themeColor="text1"/>
              </w:rPr>
            </w:pPr>
            <w:r>
              <w:rPr>
                <w:color w:val="000000" w:themeColor="text1"/>
              </w:rPr>
              <w:t xml:space="preserve">Kaukab Naqvi, </w:t>
            </w:r>
            <w:r w:rsidR="005F5B17" w:rsidRPr="005F5B17">
              <w:rPr>
                <w:color w:val="000000" w:themeColor="text1"/>
              </w:rPr>
              <w:t>Senior Economist</w:t>
            </w:r>
            <w:r w:rsidR="005F5B17">
              <w:rPr>
                <w:color w:val="000000" w:themeColor="text1"/>
              </w:rPr>
              <w:t xml:space="preserve">, </w:t>
            </w:r>
            <w:r w:rsidR="00717472" w:rsidRPr="00717472">
              <w:rPr>
                <w:color w:val="000000" w:themeColor="text1"/>
              </w:rPr>
              <w:t>Economic Analysis and Operational Support Division</w:t>
            </w:r>
            <w:r w:rsidR="00F24D2D">
              <w:rPr>
                <w:color w:val="000000" w:themeColor="text1"/>
              </w:rPr>
              <w:t xml:space="preserve">, </w:t>
            </w:r>
            <w:r w:rsidR="006D4331" w:rsidRPr="006D4331">
              <w:rPr>
                <w:color w:val="000000" w:themeColor="text1"/>
              </w:rPr>
              <w:t>Economic Research and Regional Cooperation Department</w:t>
            </w:r>
          </w:p>
          <w:p w14:paraId="2E67D5FC" w14:textId="32807542" w:rsidR="009F4DEA" w:rsidRDefault="00A03EFF" w:rsidP="00BF0C16">
            <w:pPr>
              <w:keepNext/>
              <w:jc w:val="left"/>
              <w:rPr>
                <w:color w:val="000000" w:themeColor="text1"/>
              </w:rPr>
            </w:pPr>
            <w:r>
              <w:rPr>
                <w:color w:val="000000" w:themeColor="text1"/>
              </w:rPr>
              <w:t xml:space="preserve">Akmal Nartayev, </w:t>
            </w:r>
            <w:r w:rsidR="00756F60" w:rsidRPr="00756F60">
              <w:rPr>
                <w:color w:val="000000" w:themeColor="text1"/>
              </w:rPr>
              <w:t>Senior Financial Management Specialist</w:t>
            </w:r>
            <w:r w:rsidR="00756F60">
              <w:rPr>
                <w:color w:val="000000" w:themeColor="text1"/>
              </w:rPr>
              <w:t xml:space="preserve">, </w:t>
            </w:r>
            <w:r w:rsidR="005D726C" w:rsidRPr="005D726C">
              <w:rPr>
                <w:color w:val="000000" w:themeColor="text1"/>
              </w:rPr>
              <w:t>Public Financial Management Division</w:t>
            </w:r>
            <w:r w:rsidR="005D726C">
              <w:rPr>
                <w:color w:val="000000" w:themeColor="text1"/>
              </w:rPr>
              <w:t xml:space="preserve">, </w:t>
            </w:r>
            <w:r w:rsidR="00ED236E" w:rsidRPr="00ED236E">
              <w:rPr>
                <w:color w:val="000000" w:themeColor="text1"/>
              </w:rPr>
              <w:t>Procurement, Portfolio and Financial Management Department</w:t>
            </w:r>
          </w:p>
          <w:p w14:paraId="754C9D42" w14:textId="2D5FE3B2" w:rsidR="00045FD0" w:rsidRDefault="006B62D6" w:rsidP="00BF0C16">
            <w:pPr>
              <w:keepNext/>
              <w:jc w:val="left"/>
              <w:rPr>
                <w:color w:val="000000" w:themeColor="text1"/>
              </w:rPr>
            </w:pPr>
            <w:r>
              <w:rPr>
                <w:color w:val="000000" w:themeColor="text1"/>
              </w:rPr>
              <w:t>Irina No</w:t>
            </w:r>
            <w:r w:rsidR="00FE57B9">
              <w:rPr>
                <w:color w:val="000000" w:themeColor="text1"/>
              </w:rPr>
              <w:t xml:space="preserve">vikova, </w:t>
            </w:r>
            <w:r w:rsidR="00D12E2F" w:rsidRPr="00D12E2F">
              <w:rPr>
                <w:color w:val="000000" w:themeColor="text1"/>
              </w:rPr>
              <w:t>Senior Social Development Specialist (Safeguards)</w:t>
            </w:r>
            <w:r w:rsidR="00D12E2F">
              <w:rPr>
                <w:color w:val="000000" w:themeColor="text1"/>
              </w:rPr>
              <w:t>, SDSS, SDCC</w:t>
            </w:r>
          </w:p>
          <w:p w14:paraId="69A09FB8" w14:textId="6C4D1BF5" w:rsidR="00950818" w:rsidRDefault="00A74B81" w:rsidP="00BF0C16">
            <w:pPr>
              <w:keepNext/>
              <w:jc w:val="left"/>
              <w:rPr>
                <w:color w:val="000000" w:themeColor="text1"/>
              </w:rPr>
            </w:pPr>
            <w:r>
              <w:rPr>
                <w:color w:val="000000" w:themeColor="text1"/>
              </w:rPr>
              <w:t xml:space="preserve">David Robinett, </w:t>
            </w:r>
            <w:r w:rsidR="00582402" w:rsidRPr="00582402">
              <w:rPr>
                <w:color w:val="000000" w:themeColor="text1"/>
              </w:rPr>
              <w:t>Senior Public Management Specialist (State Owned Enterprise Reforms)</w:t>
            </w:r>
            <w:r w:rsidR="00582402">
              <w:rPr>
                <w:color w:val="000000" w:themeColor="text1"/>
              </w:rPr>
              <w:t>, Governance Thematic Group, SDCC</w:t>
            </w:r>
          </w:p>
          <w:p w14:paraId="0ECA99B8" w14:textId="77777777" w:rsidR="0087153B" w:rsidRDefault="0087153B" w:rsidP="00BF0C16">
            <w:pPr>
              <w:keepNext/>
              <w:jc w:val="left"/>
              <w:rPr>
                <w:color w:val="000000" w:themeColor="text1"/>
              </w:rPr>
            </w:pPr>
            <w:r>
              <w:rPr>
                <w:color w:val="000000" w:themeColor="text1"/>
              </w:rPr>
              <w:t xml:space="preserve">Mary Alice Rosero, </w:t>
            </w:r>
            <w:r w:rsidRPr="005B4906">
              <w:rPr>
                <w:color w:val="000000" w:themeColor="text1"/>
              </w:rPr>
              <w:t>Social Development Specialist (Gender and Development)</w:t>
            </w:r>
            <w:r>
              <w:rPr>
                <w:color w:val="000000" w:themeColor="text1"/>
              </w:rPr>
              <w:t xml:space="preserve">, </w:t>
            </w:r>
            <w:r w:rsidRPr="00DD45D9">
              <w:rPr>
                <w:color w:val="000000" w:themeColor="text1"/>
              </w:rPr>
              <w:t>Portfolio, Results, Safeguards and Gender Unit</w:t>
            </w:r>
            <w:r>
              <w:rPr>
                <w:color w:val="000000" w:themeColor="text1"/>
              </w:rPr>
              <w:t xml:space="preserve"> (CWOD-PSG)</w:t>
            </w:r>
            <w:r w:rsidRPr="00DD45D9">
              <w:rPr>
                <w:color w:val="000000" w:themeColor="text1"/>
              </w:rPr>
              <w:t>, CWRD</w:t>
            </w:r>
            <w:r>
              <w:rPr>
                <w:color w:val="000000" w:themeColor="text1"/>
              </w:rPr>
              <w:t xml:space="preserve"> </w:t>
            </w:r>
          </w:p>
          <w:p w14:paraId="118CF920" w14:textId="2B8B01A3" w:rsidR="00B73C13" w:rsidRDefault="00B73C13" w:rsidP="00BF0C16">
            <w:pPr>
              <w:keepNext/>
              <w:jc w:val="left"/>
              <w:rPr>
                <w:color w:val="000000" w:themeColor="text1"/>
              </w:rPr>
            </w:pPr>
            <w:r>
              <w:rPr>
                <w:color w:val="000000" w:themeColor="text1"/>
              </w:rPr>
              <w:t xml:space="preserve">Malika Shagazatova, </w:t>
            </w:r>
            <w:r w:rsidR="00D65A0A" w:rsidRPr="00D65A0A">
              <w:rPr>
                <w:color w:val="000000" w:themeColor="text1"/>
              </w:rPr>
              <w:t>Social Development Specialist (Gender and Development)</w:t>
            </w:r>
            <w:r w:rsidR="00D65A0A">
              <w:rPr>
                <w:color w:val="000000" w:themeColor="text1"/>
              </w:rPr>
              <w:t xml:space="preserve">, </w:t>
            </w:r>
            <w:r w:rsidR="008D6455">
              <w:rPr>
                <w:color w:val="000000" w:themeColor="text1"/>
              </w:rPr>
              <w:t xml:space="preserve">Gender Equity Thematic Group, </w:t>
            </w:r>
            <w:r w:rsidR="00732D45">
              <w:rPr>
                <w:color w:val="000000" w:themeColor="text1"/>
              </w:rPr>
              <w:t>SDCC</w:t>
            </w:r>
          </w:p>
          <w:p w14:paraId="3EDCDCD4" w14:textId="6204CFB1" w:rsidR="00732D45" w:rsidRDefault="00732D45" w:rsidP="00BF0C16">
            <w:pPr>
              <w:keepNext/>
              <w:jc w:val="left"/>
              <w:rPr>
                <w:color w:val="000000" w:themeColor="text1"/>
              </w:rPr>
            </w:pPr>
            <w:r>
              <w:rPr>
                <w:color w:val="000000" w:themeColor="text1"/>
              </w:rPr>
              <w:t xml:space="preserve">Agnes Surry, </w:t>
            </w:r>
            <w:r w:rsidR="00B404AD" w:rsidRPr="00B404AD">
              <w:rPr>
                <w:color w:val="000000" w:themeColor="text1"/>
              </w:rPr>
              <w:t>Senior Planning and Policy Specialist</w:t>
            </w:r>
            <w:r w:rsidR="00B404AD">
              <w:rPr>
                <w:color w:val="000000" w:themeColor="text1"/>
              </w:rPr>
              <w:t xml:space="preserve">, </w:t>
            </w:r>
            <w:r w:rsidR="004D1E1F" w:rsidRPr="004D1E1F">
              <w:rPr>
                <w:color w:val="000000" w:themeColor="text1"/>
              </w:rPr>
              <w:t>Operations Planning and Coordination Division,</w:t>
            </w:r>
            <w:r w:rsidR="004D1E1F">
              <w:rPr>
                <w:color w:val="000000" w:themeColor="text1"/>
              </w:rPr>
              <w:t xml:space="preserve"> </w:t>
            </w:r>
            <w:r w:rsidR="00F50744" w:rsidRPr="00F50744">
              <w:rPr>
                <w:color w:val="000000" w:themeColor="text1"/>
              </w:rPr>
              <w:t>Strategy, Policy and Partnerships Department</w:t>
            </w:r>
          </w:p>
          <w:p w14:paraId="46340540" w14:textId="77777777" w:rsidR="00310FE6" w:rsidRDefault="007A477D" w:rsidP="00BF0C16">
            <w:pPr>
              <w:keepNext/>
              <w:jc w:val="left"/>
              <w:rPr>
                <w:color w:val="000000" w:themeColor="text1"/>
              </w:rPr>
            </w:pPr>
            <w:r>
              <w:rPr>
                <w:color w:val="000000" w:themeColor="text1"/>
              </w:rPr>
              <w:t xml:space="preserve">Deepak Taneja, </w:t>
            </w:r>
            <w:r w:rsidR="00FD03F4" w:rsidRPr="00FD03F4">
              <w:rPr>
                <w:color w:val="000000" w:themeColor="text1"/>
              </w:rPr>
              <w:t>Principal Treasury Specialist</w:t>
            </w:r>
            <w:r w:rsidR="00061626">
              <w:rPr>
                <w:color w:val="000000" w:themeColor="text1"/>
              </w:rPr>
              <w:t xml:space="preserve">, </w:t>
            </w:r>
            <w:r w:rsidR="00061626" w:rsidRPr="00061626">
              <w:rPr>
                <w:color w:val="000000" w:themeColor="text1"/>
              </w:rPr>
              <w:t>Treasury Client Solutions Unit</w:t>
            </w:r>
            <w:r w:rsidR="00061626">
              <w:rPr>
                <w:color w:val="000000" w:themeColor="text1"/>
              </w:rPr>
              <w:t>, Treasury Department</w:t>
            </w:r>
          </w:p>
          <w:p w14:paraId="356D74F8" w14:textId="4BE3AE47" w:rsidR="00061626" w:rsidRPr="009A246A" w:rsidRDefault="00061626" w:rsidP="00BF0C16">
            <w:pPr>
              <w:keepNext/>
              <w:jc w:val="left"/>
              <w:rPr>
                <w:color w:val="000000" w:themeColor="text1"/>
              </w:rPr>
            </w:pPr>
          </w:p>
        </w:tc>
      </w:tr>
      <w:tr w:rsidR="00244FB5" w:rsidRPr="00BD4E7D" w14:paraId="0424F170" w14:textId="77777777" w:rsidTr="00BF0C16">
        <w:trPr>
          <w:trHeight w:val="57"/>
          <w:jc w:val="center"/>
        </w:trPr>
        <w:tc>
          <w:tcPr>
            <w:tcW w:w="2488" w:type="dxa"/>
            <w:tcBorders>
              <w:top w:val="nil"/>
              <w:right w:val="nil"/>
            </w:tcBorders>
          </w:tcPr>
          <w:p w14:paraId="1E472ACA" w14:textId="77777777" w:rsidR="00244FB5" w:rsidRPr="00840B7F" w:rsidRDefault="00244FB5" w:rsidP="00BF0C16">
            <w:pPr>
              <w:jc w:val="left"/>
            </w:pPr>
          </w:p>
        </w:tc>
        <w:tc>
          <w:tcPr>
            <w:tcW w:w="6862" w:type="dxa"/>
            <w:tcBorders>
              <w:top w:val="nil"/>
              <w:left w:val="nil"/>
            </w:tcBorders>
          </w:tcPr>
          <w:p w14:paraId="2B415349" w14:textId="77777777" w:rsidR="00244FB5" w:rsidRPr="00840B7F" w:rsidRDefault="00244FB5" w:rsidP="00BF0C16">
            <w:pPr>
              <w:jc w:val="left"/>
            </w:pPr>
          </w:p>
        </w:tc>
      </w:tr>
    </w:tbl>
    <w:p w14:paraId="24137E48" w14:textId="77777777" w:rsidR="00683826" w:rsidRPr="0003721E" w:rsidRDefault="00683826" w:rsidP="00683826">
      <w:pPr>
        <w:rPr>
          <w:rFonts w:cs="Arial"/>
        </w:rPr>
      </w:pPr>
    </w:p>
    <w:p w14:paraId="0F803689" w14:textId="77777777" w:rsidR="00683826" w:rsidRPr="0003721E" w:rsidRDefault="00683826" w:rsidP="00683826">
      <w:pPr>
        <w:rPr>
          <w:rFonts w:cs="Arial"/>
          <w:color w:val="000000"/>
        </w:rPr>
      </w:pPr>
      <w:r w:rsidRPr="0003721E">
        <w:rPr>
          <w:rFonts w:cs="Arial"/>
        </w:rPr>
        <w:t>In preparing any country program or strategy, financing any project, or by making any designation of or reference to a particular territory or geographic area in this document, the Asian Development Bank does not intend to make any judgments as to the legal or other status of any territory or area.</w:t>
      </w:r>
    </w:p>
    <w:p w14:paraId="6CEB62A9" w14:textId="77777777" w:rsidR="001156C6" w:rsidRPr="00455445" w:rsidRDefault="001156C6" w:rsidP="00F93BBA">
      <w:pPr>
        <w:pStyle w:val="Footer"/>
        <w:rPr>
          <w:color w:val="000000"/>
        </w:rPr>
        <w:sectPr w:rsidR="001156C6" w:rsidRPr="00455445" w:rsidSect="00342CFF">
          <w:footnotePr>
            <w:numRestart w:val="eachSect"/>
          </w:footnotePr>
          <w:endnotePr>
            <w:numRestart w:val="eachSect"/>
          </w:endnotePr>
          <w:pgSz w:w="12240" w:h="15840"/>
          <w:pgMar w:top="1440" w:right="1440" w:bottom="1440" w:left="1440" w:header="907" w:footer="1296" w:gutter="0"/>
          <w:cols w:space="720"/>
          <w:noEndnote/>
          <w:titlePg/>
        </w:sectPr>
      </w:pPr>
    </w:p>
    <w:p w14:paraId="1D34CBE2" w14:textId="7E81C0D0" w:rsidR="001156C6" w:rsidRPr="00D043F8" w:rsidRDefault="00DA6196" w:rsidP="00D043F8">
      <w:pPr>
        <w:pStyle w:val="FrontMatter"/>
      </w:pPr>
      <w:r w:rsidRPr="00D043F8">
        <w:lastRenderedPageBreak/>
        <w:t>Contents</w:t>
      </w:r>
    </w:p>
    <w:p w14:paraId="4230CC13" w14:textId="77777777" w:rsidR="001156C6" w:rsidRDefault="001156C6" w:rsidP="00A923C6">
      <w:pPr>
        <w:jc w:val="right"/>
        <w:rPr>
          <w:b/>
        </w:rPr>
      </w:pPr>
      <w:r>
        <w:rPr>
          <w:b/>
        </w:rPr>
        <w:t>Page</w:t>
      </w:r>
    </w:p>
    <w:p w14:paraId="6511D63B" w14:textId="513E0523" w:rsidR="001156C6" w:rsidRPr="002551A2" w:rsidRDefault="00D556E3" w:rsidP="00262935">
      <w:pPr>
        <w:tabs>
          <w:tab w:val="right" w:pos="9360"/>
        </w:tabs>
        <w:spacing w:before="120" w:after="60"/>
      </w:pPr>
      <w:r w:rsidRPr="002551A2">
        <w:t>PRO</w:t>
      </w:r>
      <w:r>
        <w:t>GRAM</w:t>
      </w:r>
      <w:r w:rsidRPr="002551A2">
        <w:t xml:space="preserve"> </w:t>
      </w:r>
      <w:r w:rsidR="001156C6" w:rsidRPr="002551A2">
        <w:t>AT A GLANCE</w:t>
      </w:r>
    </w:p>
    <w:p w14:paraId="02235718" w14:textId="716587AF" w:rsidR="007D1111" w:rsidRDefault="00DA6196">
      <w:pPr>
        <w:pStyle w:val="TOC1"/>
        <w:rPr>
          <w:rFonts w:asciiTheme="minorHAnsi" w:eastAsiaTheme="minorEastAsia" w:hAnsiTheme="minorHAnsi" w:cstheme="minorBidi"/>
          <w:caps w:val="0"/>
        </w:rPr>
      </w:pPr>
      <w:r>
        <w:fldChar w:fldCharType="begin"/>
      </w:r>
      <w:r>
        <w:instrText xml:space="preserve"> TOC \o "2-2" \h \z \t "Heading 1,1,Appendix,3" </w:instrText>
      </w:r>
      <w:r>
        <w:fldChar w:fldCharType="separate"/>
      </w:r>
      <w:hyperlink w:anchor="_Toc49870242" w:history="1">
        <w:r w:rsidR="007D1111" w:rsidRPr="00DB37FD">
          <w:rPr>
            <w:rStyle w:val="Hyperlink"/>
          </w:rPr>
          <w:t>I.</w:t>
        </w:r>
        <w:r w:rsidR="007D1111">
          <w:rPr>
            <w:rFonts w:asciiTheme="minorHAnsi" w:eastAsiaTheme="minorEastAsia" w:hAnsiTheme="minorHAnsi" w:cstheme="minorBidi"/>
            <w:caps w:val="0"/>
          </w:rPr>
          <w:tab/>
        </w:r>
        <w:r w:rsidR="007D1111" w:rsidRPr="00DB37FD">
          <w:rPr>
            <w:rStyle w:val="Hyperlink"/>
          </w:rPr>
          <w:t>The Proposal</w:t>
        </w:r>
        <w:r w:rsidR="007D1111">
          <w:rPr>
            <w:webHidden/>
          </w:rPr>
          <w:tab/>
        </w:r>
        <w:r w:rsidR="007D1111">
          <w:rPr>
            <w:webHidden/>
          </w:rPr>
          <w:fldChar w:fldCharType="begin"/>
        </w:r>
        <w:r w:rsidR="007D1111">
          <w:rPr>
            <w:webHidden/>
          </w:rPr>
          <w:instrText xml:space="preserve"> PAGEREF _Toc49870242 \h </w:instrText>
        </w:r>
        <w:r w:rsidR="007D1111">
          <w:rPr>
            <w:webHidden/>
          </w:rPr>
        </w:r>
        <w:r w:rsidR="007D1111">
          <w:rPr>
            <w:webHidden/>
          </w:rPr>
          <w:fldChar w:fldCharType="separate"/>
        </w:r>
        <w:r w:rsidR="00AD1D76">
          <w:rPr>
            <w:webHidden/>
          </w:rPr>
          <w:t>1</w:t>
        </w:r>
        <w:r w:rsidR="007D1111">
          <w:rPr>
            <w:webHidden/>
          </w:rPr>
          <w:fldChar w:fldCharType="end"/>
        </w:r>
      </w:hyperlink>
    </w:p>
    <w:p w14:paraId="20D0F31C" w14:textId="7E8217CC" w:rsidR="007D1111" w:rsidRDefault="00120923">
      <w:pPr>
        <w:pStyle w:val="TOC1"/>
        <w:rPr>
          <w:rFonts w:asciiTheme="minorHAnsi" w:eastAsiaTheme="minorEastAsia" w:hAnsiTheme="minorHAnsi" w:cstheme="minorBidi"/>
          <w:caps w:val="0"/>
        </w:rPr>
      </w:pPr>
      <w:hyperlink w:anchor="_Toc49870243" w:history="1">
        <w:r w:rsidR="007D1111" w:rsidRPr="00DB37FD">
          <w:rPr>
            <w:rStyle w:val="Hyperlink"/>
          </w:rPr>
          <w:t>II.</w:t>
        </w:r>
        <w:r w:rsidR="007D1111">
          <w:rPr>
            <w:rFonts w:asciiTheme="minorHAnsi" w:eastAsiaTheme="minorEastAsia" w:hAnsiTheme="minorHAnsi" w:cstheme="minorBidi"/>
            <w:caps w:val="0"/>
          </w:rPr>
          <w:tab/>
        </w:r>
        <w:r w:rsidR="007D1111" w:rsidRPr="00DB37FD">
          <w:rPr>
            <w:rStyle w:val="Hyperlink"/>
          </w:rPr>
          <w:t>Program and Rationale</w:t>
        </w:r>
        <w:r w:rsidR="007D1111">
          <w:rPr>
            <w:webHidden/>
          </w:rPr>
          <w:tab/>
        </w:r>
        <w:r w:rsidR="007D1111">
          <w:rPr>
            <w:webHidden/>
          </w:rPr>
          <w:fldChar w:fldCharType="begin"/>
        </w:r>
        <w:r w:rsidR="007D1111">
          <w:rPr>
            <w:webHidden/>
          </w:rPr>
          <w:instrText xml:space="preserve"> PAGEREF _Toc49870243 \h </w:instrText>
        </w:r>
        <w:r w:rsidR="007D1111">
          <w:rPr>
            <w:webHidden/>
          </w:rPr>
        </w:r>
        <w:r w:rsidR="007D1111">
          <w:rPr>
            <w:webHidden/>
          </w:rPr>
          <w:fldChar w:fldCharType="separate"/>
        </w:r>
        <w:r w:rsidR="00AD1D76">
          <w:rPr>
            <w:webHidden/>
          </w:rPr>
          <w:t>1</w:t>
        </w:r>
        <w:r w:rsidR="007D1111">
          <w:rPr>
            <w:webHidden/>
          </w:rPr>
          <w:fldChar w:fldCharType="end"/>
        </w:r>
      </w:hyperlink>
    </w:p>
    <w:p w14:paraId="0B0B4647" w14:textId="77D21DBD" w:rsidR="007D1111" w:rsidRDefault="00120923">
      <w:pPr>
        <w:pStyle w:val="TOC2"/>
        <w:rPr>
          <w:rFonts w:asciiTheme="minorHAnsi" w:eastAsiaTheme="minorEastAsia" w:hAnsiTheme="minorHAnsi" w:cstheme="minorBidi"/>
        </w:rPr>
      </w:pPr>
      <w:hyperlink w:anchor="_Toc49870244" w:history="1">
        <w:r w:rsidR="007D1111" w:rsidRPr="00DB37FD">
          <w:rPr>
            <w:rStyle w:val="Hyperlink"/>
            <w:snapToGrid w:val="0"/>
          </w:rPr>
          <w:t>A.</w:t>
        </w:r>
        <w:r w:rsidR="007D1111">
          <w:rPr>
            <w:rFonts w:asciiTheme="minorHAnsi" w:eastAsiaTheme="minorEastAsia" w:hAnsiTheme="minorHAnsi" w:cstheme="minorBidi"/>
          </w:rPr>
          <w:tab/>
        </w:r>
        <w:r w:rsidR="007D1111" w:rsidRPr="00DB37FD">
          <w:rPr>
            <w:rStyle w:val="Hyperlink"/>
            <w:snapToGrid w:val="0"/>
          </w:rPr>
          <w:t>Background and Development Constraints</w:t>
        </w:r>
        <w:r w:rsidR="007D1111">
          <w:rPr>
            <w:webHidden/>
          </w:rPr>
          <w:tab/>
        </w:r>
        <w:r w:rsidR="007D1111">
          <w:rPr>
            <w:webHidden/>
          </w:rPr>
          <w:fldChar w:fldCharType="begin"/>
        </w:r>
        <w:r w:rsidR="007D1111">
          <w:rPr>
            <w:webHidden/>
          </w:rPr>
          <w:instrText xml:space="preserve"> PAGEREF _Toc49870244 \h </w:instrText>
        </w:r>
        <w:r w:rsidR="007D1111">
          <w:rPr>
            <w:webHidden/>
          </w:rPr>
        </w:r>
        <w:r w:rsidR="007D1111">
          <w:rPr>
            <w:webHidden/>
          </w:rPr>
          <w:fldChar w:fldCharType="separate"/>
        </w:r>
        <w:r w:rsidR="00AD1D76">
          <w:rPr>
            <w:webHidden/>
          </w:rPr>
          <w:t>1</w:t>
        </w:r>
        <w:r w:rsidR="007D1111">
          <w:rPr>
            <w:webHidden/>
          </w:rPr>
          <w:fldChar w:fldCharType="end"/>
        </w:r>
      </w:hyperlink>
    </w:p>
    <w:p w14:paraId="4A93D8C0" w14:textId="6EE73FD3" w:rsidR="007D1111" w:rsidRDefault="00120923">
      <w:pPr>
        <w:pStyle w:val="TOC2"/>
        <w:rPr>
          <w:rFonts w:asciiTheme="minorHAnsi" w:eastAsiaTheme="minorEastAsia" w:hAnsiTheme="minorHAnsi" w:cstheme="minorBidi"/>
        </w:rPr>
      </w:pPr>
      <w:hyperlink w:anchor="_Toc49870245" w:history="1">
        <w:r w:rsidR="007D1111" w:rsidRPr="00DB37FD">
          <w:rPr>
            <w:rStyle w:val="Hyperlink"/>
            <w:snapToGrid w:val="0"/>
          </w:rPr>
          <w:t>B.</w:t>
        </w:r>
        <w:r w:rsidR="007D1111">
          <w:rPr>
            <w:rFonts w:asciiTheme="minorHAnsi" w:eastAsiaTheme="minorEastAsia" w:hAnsiTheme="minorHAnsi" w:cstheme="minorBidi"/>
          </w:rPr>
          <w:tab/>
        </w:r>
        <w:r w:rsidR="007D1111" w:rsidRPr="00DB37FD">
          <w:rPr>
            <w:rStyle w:val="Hyperlink"/>
            <w:snapToGrid w:val="0"/>
          </w:rPr>
          <w:t>Policy Reform and ADB’s Value Addition</w:t>
        </w:r>
        <w:r w:rsidR="007D1111">
          <w:rPr>
            <w:webHidden/>
          </w:rPr>
          <w:tab/>
        </w:r>
        <w:r w:rsidR="007D1111">
          <w:rPr>
            <w:webHidden/>
          </w:rPr>
          <w:fldChar w:fldCharType="begin"/>
        </w:r>
        <w:r w:rsidR="007D1111">
          <w:rPr>
            <w:webHidden/>
          </w:rPr>
          <w:instrText xml:space="preserve"> PAGEREF _Toc49870245 \h </w:instrText>
        </w:r>
        <w:r w:rsidR="007D1111">
          <w:rPr>
            <w:webHidden/>
          </w:rPr>
        </w:r>
        <w:r w:rsidR="007D1111">
          <w:rPr>
            <w:webHidden/>
          </w:rPr>
          <w:fldChar w:fldCharType="separate"/>
        </w:r>
        <w:r w:rsidR="00AD1D76">
          <w:rPr>
            <w:webHidden/>
          </w:rPr>
          <w:t>8</w:t>
        </w:r>
        <w:r w:rsidR="007D1111">
          <w:rPr>
            <w:webHidden/>
          </w:rPr>
          <w:fldChar w:fldCharType="end"/>
        </w:r>
      </w:hyperlink>
    </w:p>
    <w:p w14:paraId="24EF181E" w14:textId="6535BF8C" w:rsidR="007D1111" w:rsidRDefault="00120923">
      <w:pPr>
        <w:pStyle w:val="TOC2"/>
        <w:rPr>
          <w:rFonts w:asciiTheme="minorHAnsi" w:eastAsiaTheme="minorEastAsia" w:hAnsiTheme="minorHAnsi" w:cstheme="minorBidi"/>
        </w:rPr>
      </w:pPr>
      <w:hyperlink w:anchor="_Toc49870246" w:history="1">
        <w:r w:rsidR="007D1111" w:rsidRPr="00DB37FD">
          <w:rPr>
            <w:rStyle w:val="Hyperlink"/>
            <w:lang w:eastAsia="zh-CN"/>
          </w:rPr>
          <w:t>C.</w:t>
        </w:r>
        <w:r w:rsidR="007D1111">
          <w:rPr>
            <w:rFonts w:asciiTheme="minorHAnsi" w:eastAsiaTheme="minorEastAsia" w:hAnsiTheme="minorHAnsi" w:cstheme="minorBidi"/>
          </w:rPr>
          <w:tab/>
        </w:r>
        <w:r w:rsidR="007D1111" w:rsidRPr="00DB37FD">
          <w:rPr>
            <w:rStyle w:val="Hyperlink"/>
            <w:bCs/>
            <w:lang w:eastAsia="zh-CN"/>
          </w:rPr>
          <w:t>Impacts of the Reform</w:t>
        </w:r>
        <w:r w:rsidR="007D1111">
          <w:rPr>
            <w:webHidden/>
          </w:rPr>
          <w:tab/>
        </w:r>
        <w:r w:rsidR="007D1111">
          <w:rPr>
            <w:webHidden/>
          </w:rPr>
          <w:fldChar w:fldCharType="begin"/>
        </w:r>
        <w:r w:rsidR="007D1111">
          <w:rPr>
            <w:webHidden/>
          </w:rPr>
          <w:instrText xml:space="preserve"> PAGEREF _Toc49870246 \h </w:instrText>
        </w:r>
        <w:r w:rsidR="007D1111">
          <w:rPr>
            <w:webHidden/>
          </w:rPr>
        </w:r>
        <w:r w:rsidR="007D1111">
          <w:rPr>
            <w:webHidden/>
          </w:rPr>
          <w:fldChar w:fldCharType="separate"/>
        </w:r>
        <w:r w:rsidR="00AD1D76">
          <w:rPr>
            <w:webHidden/>
          </w:rPr>
          <w:t>11</w:t>
        </w:r>
        <w:r w:rsidR="007D1111">
          <w:rPr>
            <w:webHidden/>
          </w:rPr>
          <w:fldChar w:fldCharType="end"/>
        </w:r>
      </w:hyperlink>
    </w:p>
    <w:p w14:paraId="6A8E72AA" w14:textId="23812FCB" w:rsidR="007D1111" w:rsidRDefault="00120923">
      <w:pPr>
        <w:pStyle w:val="TOC2"/>
        <w:rPr>
          <w:rFonts w:asciiTheme="minorHAnsi" w:eastAsiaTheme="minorEastAsia" w:hAnsiTheme="minorHAnsi" w:cstheme="minorBidi"/>
        </w:rPr>
      </w:pPr>
      <w:hyperlink w:anchor="_Toc49870248" w:history="1">
        <w:r w:rsidR="007D1111" w:rsidRPr="00DB37FD">
          <w:rPr>
            <w:rStyle w:val="Hyperlink"/>
          </w:rPr>
          <w:t>D.</w:t>
        </w:r>
        <w:r w:rsidR="007D1111">
          <w:rPr>
            <w:webHidden/>
          </w:rPr>
          <w:tab/>
        </w:r>
        <w:r w:rsidR="007D1111" w:rsidRPr="007D1111">
          <w:t>Development Financing Needs and Budget Support</w:t>
        </w:r>
        <w:r w:rsidR="007D1111" w:rsidRPr="007D1111">
          <w:rPr>
            <w:webHidden/>
          </w:rPr>
          <w:t xml:space="preserve"> </w:t>
        </w:r>
        <w:r w:rsidR="007D1111">
          <w:rPr>
            <w:webHidden/>
          </w:rPr>
          <w:tab/>
        </w:r>
        <w:r w:rsidR="007D1111">
          <w:rPr>
            <w:webHidden/>
          </w:rPr>
          <w:fldChar w:fldCharType="begin"/>
        </w:r>
        <w:r w:rsidR="007D1111">
          <w:rPr>
            <w:webHidden/>
          </w:rPr>
          <w:instrText xml:space="preserve"> PAGEREF _Toc49870248 \h </w:instrText>
        </w:r>
        <w:r w:rsidR="007D1111">
          <w:rPr>
            <w:webHidden/>
          </w:rPr>
        </w:r>
        <w:r w:rsidR="007D1111">
          <w:rPr>
            <w:webHidden/>
          </w:rPr>
          <w:fldChar w:fldCharType="separate"/>
        </w:r>
        <w:r w:rsidR="00AD1D76">
          <w:rPr>
            <w:webHidden/>
          </w:rPr>
          <w:t>12</w:t>
        </w:r>
        <w:r w:rsidR="007D1111">
          <w:rPr>
            <w:webHidden/>
          </w:rPr>
          <w:fldChar w:fldCharType="end"/>
        </w:r>
      </w:hyperlink>
    </w:p>
    <w:p w14:paraId="75D1DAF7" w14:textId="35EFB30A" w:rsidR="007D1111" w:rsidRDefault="00120923">
      <w:pPr>
        <w:pStyle w:val="TOC2"/>
        <w:rPr>
          <w:rFonts w:asciiTheme="minorHAnsi" w:eastAsiaTheme="minorEastAsia" w:hAnsiTheme="minorHAnsi" w:cstheme="minorBidi"/>
        </w:rPr>
      </w:pPr>
      <w:hyperlink w:anchor="_Toc49870249" w:history="1">
        <w:r w:rsidR="007D1111" w:rsidRPr="00DB37FD">
          <w:rPr>
            <w:rStyle w:val="Hyperlink"/>
            <w:snapToGrid w:val="0"/>
          </w:rPr>
          <w:t>E.</w:t>
        </w:r>
        <w:r w:rsidR="007D1111">
          <w:rPr>
            <w:rFonts w:asciiTheme="minorHAnsi" w:eastAsiaTheme="minorEastAsia" w:hAnsiTheme="minorHAnsi" w:cstheme="minorBidi"/>
          </w:rPr>
          <w:tab/>
        </w:r>
        <w:r w:rsidR="007D1111" w:rsidRPr="00DB37FD">
          <w:rPr>
            <w:rStyle w:val="Hyperlink"/>
            <w:snapToGrid w:val="0"/>
          </w:rPr>
          <w:t>Implementation Arrangements</w:t>
        </w:r>
        <w:r w:rsidR="007D1111">
          <w:rPr>
            <w:webHidden/>
          </w:rPr>
          <w:tab/>
        </w:r>
        <w:r w:rsidR="007D1111">
          <w:rPr>
            <w:webHidden/>
          </w:rPr>
          <w:fldChar w:fldCharType="begin"/>
        </w:r>
        <w:r w:rsidR="007D1111">
          <w:rPr>
            <w:webHidden/>
          </w:rPr>
          <w:instrText xml:space="preserve"> PAGEREF _Toc49870249 \h </w:instrText>
        </w:r>
        <w:r w:rsidR="007D1111">
          <w:rPr>
            <w:webHidden/>
          </w:rPr>
        </w:r>
        <w:r w:rsidR="007D1111">
          <w:rPr>
            <w:webHidden/>
          </w:rPr>
          <w:fldChar w:fldCharType="separate"/>
        </w:r>
        <w:r w:rsidR="00AD1D76">
          <w:rPr>
            <w:webHidden/>
          </w:rPr>
          <w:t>12</w:t>
        </w:r>
        <w:r w:rsidR="007D1111">
          <w:rPr>
            <w:webHidden/>
          </w:rPr>
          <w:fldChar w:fldCharType="end"/>
        </w:r>
      </w:hyperlink>
    </w:p>
    <w:p w14:paraId="0ECA3590" w14:textId="6A1D1F36" w:rsidR="007D1111" w:rsidRDefault="00120923">
      <w:pPr>
        <w:pStyle w:val="TOC1"/>
        <w:rPr>
          <w:rFonts w:asciiTheme="minorHAnsi" w:eastAsiaTheme="minorEastAsia" w:hAnsiTheme="minorHAnsi" w:cstheme="minorBidi"/>
          <w:caps w:val="0"/>
        </w:rPr>
      </w:pPr>
      <w:hyperlink w:anchor="_Toc49870250" w:history="1">
        <w:r w:rsidR="007D1111" w:rsidRPr="00DB37FD">
          <w:rPr>
            <w:rStyle w:val="Hyperlink"/>
          </w:rPr>
          <w:t>III.</w:t>
        </w:r>
        <w:r w:rsidR="007D1111">
          <w:rPr>
            <w:rFonts w:asciiTheme="minorHAnsi" w:eastAsiaTheme="minorEastAsia" w:hAnsiTheme="minorHAnsi" w:cstheme="minorBidi"/>
            <w:caps w:val="0"/>
          </w:rPr>
          <w:tab/>
        </w:r>
        <w:r w:rsidR="007D1111" w:rsidRPr="00DB37FD">
          <w:rPr>
            <w:rStyle w:val="Hyperlink"/>
          </w:rPr>
          <w:t>Due Diligence</w:t>
        </w:r>
        <w:r w:rsidR="007D1111">
          <w:rPr>
            <w:webHidden/>
          </w:rPr>
          <w:tab/>
        </w:r>
        <w:r w:rsidR="007D1111">
          <w:rPr>
            <w:webHidden/>
          </w:rPr>
          <w:fldChar w:fldCharType="begin"/>
        </w:r>
        <w:r w:rsidR="007D1111">
          <w:rPr>
            <w:webHidden/>
          </w:rPr>
          <w:instrText xml:space="preserve"> PAGEREF _Toc49870250 \h </w:instrText>
        </w:r>
        <w:r w:rsidR="007D1111">
          <w:rPr>
            <w:webHidden/>
          </w:rPr>
        </w:r>
        <w:r w:rsidR="007D1111">
          <w:rPr>
            <w:webHidden/>
          </w:rPr>
          <w:fldChar w:fldCharType="separate"/>
        </w:r>
        <w:r w:rsidR="00AD1D76">
          <w:rPr>
            <w:webHidden/>
          </w:rPr>
          <w:t>13</w:t>
        </w:r>
        <w:r w:rsidR="007D1111">
          <w:rPr>
            <w:webHidden/>
          </w:rPr>
          <w:fldChar w:fldCharType="end"/>
        </w:r>
      </w:hyperlink>
    </w:p>
    <w:p w14:paraId="7E75844A" w14:textId="005711A3" w:rsidR="007D1111" w:rsidRDefault="00120923">
      <w:pPr>
        <w:pStyle w:val="TOC1"/>
        <w:rPr>
          <w:rFonts w:asciiTheme="minorHAnsi" w:eastAsiaTheme="minorEastAsia" w:hAnsiTheme="minorHAnsi" w:cstheme="minorBidi"/>
          <w:caps w:val="0"/>
        </w:rPr>
      </w:pPr>
      <w:hyperlink w:anchor="_Toc49870251" w:history="1">
        <w:r w:rsidR="007D1111" w:rsidRPr="00DB37FD">
          <w:rPr>
            <w:rStyle w:val="Hyperlink"/>
          </w:rPr>
          <w:t>IV.</w:t>
        </w:r>
        <w:r w:rsidR="007D1111">
          <w:rPr>
            <w:rFonts w:asciiTheme="minorHAnsi" w:eastAsiaTheme="minorEastAsia" w:hAnsiTheme="minorHAnsi" w:cstheme="minorBidi"/>
            <w:caps w:val="0"/>
          </w:rPr>
          <w:tab/>
        </w:r>
        <w:r w:rsidR="007D1111" w:rsidRPr="00DB37FD">
          <w:rPr>
            <w:rStyle w:val="Hyperlink"/>
          </w:rPr>
          <w:t>Assurances</w:t>
        </w:r>
        <w:r w:rsidR="007D1111">
          <w:rPr>
            <w:webHidden/>
          </w:rPr>
          <w:tab/>
        </w:r>
        <w:r w:rsidR="007D1111">
          <w:rPr>
            <w:webHidden/>
          </w:rPr>
          <w:fldChar w:fldCharType="begin"/>
        </w:r>
        <w:r w:rsidR="007D1111">
          <w:rPr>
            <w:webHidden/>
          </w:rPr>
          <w:instrText xml:space="preserve"> PAGEREF _Toc49870251 \h </w:instrText>
        </w:r>
        <w:r w:rsidR="007D1111">
          <w:rPr>
            <w:webHidden/>
          </w:rPr>
        </w:r>
        <w:r w:rsidR="007D1111">
          <w:rPr>
            <w:webHidden/>
          </w:rPr>
          <w:fldChar w:fldCharType="separate"/>
        </w:r>
        <w:r w:rsidR="00AD1D76">
          <w:rPr>
            <w:webHidden/>
          </w:rPr>
          <w:t>14</w:t>
        </w:r>
        <w:r w:rsidR="007D1111">
          <w:rPr>
            <w:webHidden/>
          </w:rPr>
          <w:fldChar w:fldCharType="end"/>
        </w:r>
      </w:hyperlink>
    </w:p>
    <w:p w14:paraId="7D6106D0" w14:textId="32D4ED6D" w:rsidR="007D1111" w:rsidRDefault="00120923">
      <w:pPr>
        <w:pStyle w:val="TOC1"/>
        <w:rPr>
          <w:rStyle w:val="Hyperlink"/>
        </w:rPr>
      </w:pPr>
      <w:hyperlink w:anchor="_Toc49870252" w:history="1">
        <w:r w:rsidR="007D1111" w:rsidRPr="00DB37FD">
          <w:rPr>
            <w:rStyle w:val="Hyperlink"/>
          </w:rPr>
          <w:t>V.</w:t>
        </w:r>
        <w:r w:rsidR="007D1111">
          <w:rPr>
            <w:rFonts w:asciiTheme="minorHAnsi" w:eastAsiaTheme="minorEastAsia" w:hAnsiTheme="minorHAnsi" w:cstheme="minorBidi"/>
            <w:caps w:val="0"/>
          </w:rPr>
          <w:tab/>
        </w:r>
        <w:r w:rsidR="007D1111" w:rsidRPr="00DB37FD">
          <w:rPr>
            <w:rStyle w:val="Hyperlink"/>
          </w:rPr>
          <w:t>Recommendation</w:t>
        </w:r>
        <w:r w:rsidR="007D1111">
          <w:rPr>
            <w:webHidden/>
          </w:rPr>
          <w:tab/>
        </w:r>
        <w:r w:rsidR="007D1111">
          <w:rPr>
            <w:webHidden/>
          </w:rPr>
          <w:fldChar w:fldCharType="begin"/>
        </w:r>
        <w:r w:rsidR="007D1111">
          <w:rPr>
            <w:webHidden/>
          </w:rPr>
          <w:instrText xml:space="preserve"> PAGEREF _Toc49870252 \h </w:instrText>
        </w:r>
        <w:r w:rsidR="007D1111">
          <w:rPr>
            <w:webHidden/>
          </w:rPr>
        </w:r>
        <w:r w:rsidR="007D1111">
          <w:rPr>
            <w:webHidden/>
          </w:rPr>
          <w:fldChar w:fldCharType="separate"/>
        </w:r>
        <w:r w:rsidR="00AD1D76">
          <w:rPr>
            <w:webHidden/>
          </w:rPr>
          <w:t>14</w:t>
        </w:r>
        <w:r w:rsidR="007D1111">
          <w:rPr>
            <w:webHidden/>
          </w:rPr>
          <w:fldChar w:fldCharType="end"/>
        </w:r>
      </w:hyperlink>
    </w:p>
    <w:p w14:paraId="09D469DC" w14:textId="34EDC95B" w:rsidR="007D1111" w:rsidRDefault="007D1111" w:rsidP="007D1111">
      <w:pPr>
        <w:rPr>
          <w:noProof/>
        </w:rPr>
      </w:pPr>
    </w:p>
    <w:p w14:paraId="215276E3" w14:textId="6A82065E" w:rsidR="007D1111" w:rsidRPr="00E530F6" w:rsidRDefault="0047250D" w:rsidP="00E530F6">
      <w:pPr>
        <w:rPr>
          <w:caps/>
          <w:noProof/>
        </w:rPr>
      </w:pPr>
      <w:r>
        <w:rPr>
          <w:caps/>
          <w:noProof/>
        </w:rPr>
        <w:t>APPENDIXES</w:t>
      </w:r>
    </w:p>
    <w:p w14:paraId="0E4F4430" w14:textId="38D3029E" w:rsidR="007D1111" w:rsidRDefault="00120923">
      <w:pPr>
        <w:pStyle w:val="TOC3"/>
        <w:tabs>
          <w:tab w:val="right" w:pos="9350"/>
        </w:tabs>
        <w:rPr>
          <w:rFonts w:asciiTheme="minorHAnsi" w:eastAsiaTheme="minorEastAsia" w:hAnsiTheme="minorHAnsi" w:cstheme="minorBidi"/>
          <w:noProof/>
        </w:rPr>
      </w:pPr>
      <w:hyperlink w:anchor="_Toc49870253" w:history="1">
        <w:r w:rsidR="007D1111" w:rsidRPr="00DB37FD">
          <w:rPr>
            <w:rStyle w:val="Hyperlink"/>
            <w:noProof/>
          </w:rPr>
          <w:t>Design and Monitoring Framework</w:t>
        </w:r>
        <w:r w:rsidR="007D1111">
          <w:rPr>
            <w:noProof/>
            <w:webHidden/>
          </w:rPr>
          <w:tab/>
        </w:r>
        <w:r w:rsidR="007D1111">
          <w:rPr>
            <w:noProof/>
            <w:webHidden/>
          </w:rPr>
          <w:fldChar w:fldCharType="begin"/>
        </w:r>
        <w:r w:rsidR="007D1111">
          <w:rPr>
            <w:noProof/>
            <w:webHidden/>
          </w:rPr>
          <w:instrText xml:space="preserve"> PAGEREF _Toc49870253 \h </w:instrText>
        </w:r>
        <w:r w:rsidR="007D1111">
          <w:rPr>
            <w:noProof/>
            <w:webHidden/>
          </w:rPr>
        </w:r>
        <w:r w:rsidR="007D1111">
          <w:rPr>
            <w:noProof/>
            <w:webHidden/>
          </w:rPr>
          <w:fldChar w:fldCharType="separate"/>
        </w:r>
        <w:r w:rsidR="00AD1D76">
          <w:rPr>
            <w:noProof/>
            <w:webHidden/>
          </w:rPr>
          <w:t>15</w:t>
        </w:r>
        <w:r w:rsidR="007D1111">
          <w:rPr>
            <w:noProof/>
            <w:webHidden/>
          </w:rPr>
          <w:fldChar w:fldCharType="end"/>
        </w:r>
      </w:hyperlink>
    </w:p>
    <w:p w14:paraId="11F7AB33" w14:textId="48B68562" w:rsidR="007D1111" w:rsidRDefault="00120923">
      <w:pPr>
        <w:pStyle w:val="TOC3"/>
        <w:tabs>
          <w:tab w:val="right" w:pos="9350"/>
        </w:tabs>
        <w:rPr>
          <w:rFonts w:asciiTheme="minorHAnsi" w:eastAsiaTheme="minorEastAsia" w:hAnsiTheme="minorHAnsi" w:cstheme="minorBidi"/>
          <w:noProof/>
        </w:rPr>
      </w:pPr>
      <w:hyperlink w:anchor="_Toc49870254" w:history="1">
        <w:r w:rsidR="007D1111" w:rsidRPr="00DB37FD">
          <w:rPr>
            <w:rStyle w:val="Hyperlink"/>
            <w:noProof/>
          </w:rPr>
          <w:t>List of Linked Documents</w:t>
        </w:r>
        <w:r w:rsidR="007D1111">
          <w:rPr>
            <w:noProof/>
            <w:webHidden/>
          </w:rPr>
          <w:tab/>
        </w:r>
        <w:r w:rsidR="007D1111">
          <w:rPr>
            <w:noProof/>
            <w:webHidden/>
          </w:rPr>
          <w:fldChar w:fldCharType="begin"/>
        </w:r>
        <w:r w:rsidR="007D1111">
          <w:rPr>
            <w:noProof/>
            <w:webHidden/>
          </w:rPr>
          <w:instrText xml:space="preserve"> PAGEREF _Toc49870254 \h </w:instrText>
        </w:r>
        <w:r w:rsidR="007D1111">
          <w:rPr>
            <w:noProof/>
            <w:webHidden/>
          </w:rPr>
        </w:r>
        <w:r w:rsidR="007D1111">
          <w:rPr>
            <w:noProof/>
            <w:webHidden/>
          </w:rPr>
          <w:fldChar w:fldCharType="separate"/>
        </w:r>
        <w:r w:rsidR="00AD1D76">
          <w:rPr>
            <w:noProof/>
            <w:webHidden/>
          </w:rPr>
          <w:t>18</w:t>
        </w:r>
        <w:r w:rsidR="007D1111">
          <w:rPr>
            <w:noProof/>
            <w:webHidden/>
          </w:rPr>
          <w:fldChar w:fldCharType="end"/>
        </w:r>
      </w:hyperlink>
    </w:p>
    <w:p w14:paraId="656F7B1F" w14:textId="1BE5BEE2" w:rsidR="007D1111" w:rsidRDefault="00120923">
      <w:pPr>
        <w:pStyle w:val="TOC3"/>
        <w:tabs>
          <w:tab w:val="right" w:pos="9350"/>
        </w:tabs>
        <w:rPr>
          <w:rFonts w:asciiTheme="minorHAnsi" w:eastAsiaTheme="minorEastAsia" w:hAnsiTheme="minorHAnsi" w:cstheme="minorBidi"/>
          <w:noProof/>
        </w:rPr>
      </w:pPr>
      <w:hyperlink w:anchor="_Toc49870255" w:history="1">
        <w:r w:rsidR="007D1111" w:rsidRPr="00DB37FD">
          <w:rPr>
            <w:rStyle w:val="Hyperlink"/>
            <w:noProof/>
          </w:rPr>
          <w:t>Development Policy Letter</w:t>
        </w:r>
        <w:r w:rsidR="007D1111">
          <w:rPr>
            <w:noProof/>
            <w:webHidden/>
          </w:rPr>
          <w:tab/>
        </w:r>
        <w:r w:rsidR="007D1111">
          <w:rPr>
            <w:noProof/>
            <w:webHidden/>
          </w:rPr>
          <w:fldChar w:fldCharType="begin"/>
        </w:r>
        <w:r w:rsidR="007D1111">
          <w:rPr>
            <w:noProof/>
            <w:webHidden/>
          </w:rPr>
          <w:instrText xml:space="preserve"> PAGEREF _Toc49870255 \h </w:instrText>
        </w:r>
        <w:r w:rsidR="007D1111">
          <w:rPr>
            <w:noProof/>
            <w:webHidden/>
          </w:rPr>
        </w:r>
        <w:r w:rsidR="007D1111">
          <w:rPr>
            <w:noProof/>
            <w:webHidden/>
          </w:rPr>
          <w:fldChar w:fldCharType="separate"/>
        </w:r>
        <w:r w:rsidR="00AD1D76">
          <w:rPr>
            <w:noProof/>
            <w:webHidden/>
          </w:rPr>
          <w:t>19</w:t>
        </w:r>
        <w:r w:rsidR="007D1111">
          <w:rPr>
            <w:noProof/>
            <w:webHidden/>
          </w:rPr>
          <w:fldChar w:fldCharType="end"/>
        </w:r>
      </w:hyperlink>
    </w:p>
    <w:p w14:paraId="00D34BED" w14:textId="2BBA54C0" w:rsidR="007D1111" w:rsidRDefault="00120923">
      <w:pPr>
        <w:pStyle w:val="TOC3"/>
        <w:tabs>
          <w:tab w:val="right" w:pos="9350"/>
        </w:tabs>
        <w:rPr>
          <w:rFonts w:asciiTheme="minorHAnsi" w:eastAsiaTheme="minorEastAsia" w:hAnsiTheme="minorHAnsi" w:cstheme="minorBidi"/>
          <w:noProof/>
        </w:rPr>
      </w:pPr>
      <w:hyperlink w:anchor="_Toc49870256" w:history="1">
        <w:r w:rsidR="007D1111" w:rsidRPr="00DB37FD">
          <w:rPr>
            <w:rStyle w:val="Hyperlink"/>
            <w:rFonts w:cs="Arial"/>
            <w:noProof/>
          </w:rPr>
          <w:t>Policy Matrix</w:t>
        </w:r>
        <w:r w:rsidR="007D1111">
          <w:rPr>
            <w:noProof/>
            <w:webHidden/>
          </w:rPr>
          <w:tab/>
        </w:r>
        <w:r w:rsidR="007D1111">
          <w:rPr>
            <w:noProof/>
            <w:webHidden/>
          </w:rPr>
          <w:fldChar w:fldCharType="begin"/>
        </w:r>
        <w:r w:rsidR="007D1111">
          <w:rPr>
            <w:noProof/>
            <w:webHidden/>
          </w:rPr>
          <w:instrText xml:space="preserve"> PAGEREF _Toc49870256 \h </w:instrText>
        </w:r>
        <w:r w:rsidR="007D1111">
          <w:rPr>
            <w:noProof/>
            <w:webHidden/>
          </w:rPr>
        </w:r>
        <w:r w:rsidR="007D1111">
          <w:rPr>
            <w:noProof/>
            <w:webHidden/>
          </w:rPr>
          <w:fldChar w:fldCharType="separate"/>
        </w:r>
        <w:r w:rsidR="00AD1D76">
          <w:rPr>
            <w:noProof/>
            <w:webHidden/>
          </w:rPr>
          <w:t>22</w:t>
        </w:r>
        <w:r w:rsidR="007D1111">
          <w:rPr>
            <w:noProof/>
            <w:webHidden/>
          </w:rPr>
          <w:fldChar w:fldCharType="end"/>
        </w:r>
      </w:hyperlink>
    </w:p>
    <w:p w14:paraId="4D94A568" w14:textId="5FD8AB47" w:rsidR="001156C6" w:rsidRPr="0022132C" w:rsidRDefault="00DA6196" w:rsidP="0022132C">
      <w:r>
        <w:rPr>
          <w:rFonts w:cs="Arial"/>
          <w:noProof/>
        </w:rPr>
        <w:fldChar w:fldCharType="end"/>
      </w:r>
    </w:p>
    <w:p w14:paraId="5A9A75D3" w14:textId="77777777" w:rsidR="001156C6" w:rsidRPr="0022132C" w:rsidRDefault="001156C6" w:rsidP="0022132C"/>
    <w:p w14:paraId="72A700D5" w14:textId="77777777" w:rsidR="001156C6" w:rsidRPr="0022132C" w:rsidRDefault="001156C6" w:rsidP="0022132C"/>
    <w:p w14:paraId="0BD7DBC6" w14:textId="77777777" w:rsidR="001156C6" w:rsidRPr="0022132C" w:rsidRDefault="001156C6" w:rsidP="0022132C"/>
    <w:p w14:paraId="73170016" w14:textId="7DFA39D5" w:rsidR="001156C6" w:rsidRPr="00D043F8" w:rsidRDefault="00BB526D" w:rsidP="00D043F8">
      <w:pPr>
        <w:pStyle w:val="FrontMatter"/>
      </w:pPr>
      <w:r w:rsidRPr="00D043F8">
        <w:br w:type="page"/>
      </w:r>
      <w:r w:rsidRPr="00D043F8">
        <w:lastRenderedPageBreak/>
        <w:t xml:space="preserve">Program </w:t>
      </w:r>
      <w:r>
        <w:t>a</w:t>
      </w:r>
      <w:r w:rsidRPr="00D043F8">
        <w:t xml:space="preserve">t </w:t>
      </w:r>
      <w:r>
        <w:t>a</w:t>
      </w:r>
      <w:r w:rsidRPr="00D043F8">
        <w:t xml:space="preserve"> Glance</w:t>
      </w:r>
    </w:p>
    <w:p w14:paraId="546B3EEE" w14:textId="6D37EC75" w:rsidR="001156C6" w:rsidRDefault="4B99A4C4" w:rsidP="002551A2">
      <w:pPr>
        <w:rPr>
          <w:rFonts w:cs="Arial"/>
          <w:bCs/>
          <w:color w:val="FF0000"/>
        </w:rPr>
      </w:pPr>
      <w:r>
        <w:rPr>
          <w:noProof/>
        </w:rPr>
        <w:drawing>
          <wp:inline distT="0" distB="0" distL="0" distR="0" wp14:anchorId="40DBB731" wp14:editId="2FFC9F19">
            <wp:extent cx="5943600" cy="7728586"/>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0">
                      <a:extLst>
                        <a:ext uri="{28A0092B-C50C-407E-A947-70E740481C1C}">
                          <a14:useLocalDpi xmlns:a14="http://schemas.microsoft.com/office/drawing/2010/main" val="0"/>
                        </a:ext>
                      </a:extLst>
                    </a:blip>
                    <a:stretch>
                      <a:fillRect/>
                    </a:stretch>
                  </pic:blipFill>
                  <pic:spPr>
                    <a:xfrm>
                      <a:off x="0" y="0"/>
                      <a:ext cx="5943600" cy="7728586"/>
                    </a:xfrm>
                    <a:prstGeom prst="rect">
                      <a:avLst/>
                    </a:prstGeom>
                  </pic:spPr>
                </pic:pic>
              </a:graphicData>
            </a:graphic>
          </wp:inline>
        </w:drawing>
      </w:r>
    </w:p>
    <w:p w14:paraId="71019F17" w14:textId="77777777" w:rsidR="00DB5AA9" w:rsidRDefault="00DB5AA9"/>
    <w:p w14:paraId="77033FC8" w14:textId="2C166FFB" w:rsidR="00DB5AA9" w:rsidRDefault="00DB5AA9">
      <w:pPr>
        <w:sectPr w:rsidR="00DB5AA9" w:rsidSect="00D27DD1">
          <w:headerReference w:type="default" r:id="rId21"/>
          <w:headerReference w:type="first" r:id="rId22"/>
          <w:footnotePr>
            <w:numRestart w:val="eachSect"/>
          </w:footnotePr>
          <w:endnotePr>
            <w:numRestart w:val="eachSect"/>
          </w:endnotePr>
          <w:pgSz w:w="12240" w:h="15840" w:code="1"/>
          <w:pgMar w:top="1440" w:right="1440" w:bottom="1440" w:left="1440" w:header="720" w:footer="720" w:gutter="0"/>
          <w:pgNumType w:start="1"/>
          <w:cols w:space="720"/>
          <w:titlePg/>
        </w:sectPr>
      </w:pPr>
    </w:p>
    <w:p w14:paraId="74FA0388" w14:textId="0642A3A9" w:rsidR="00DF6437" w:rsidRPr="006B6055" w:rsidRDefault="00BB526D" w:rsidP="00F93BBA">
      <w:pPr>
        <w:pStyle w:val="Heading1"/>
        <w:spacing w:after="240"/>
        <w:ind w:left="0" w:firstLine="0"/>
      </w:pPr>
      <w:bookmarkStart w:id="1" w:name="_Toc2503800"/>
      <w:bookmarkStart w:id="2" w:name="_Toc246237702"/>
      <w:bookmarkStart w:id="3" w:name="_Toc49870242"/>
      <w:r w:rsidRPr="00BB526D">
        <w:lastRenderedPageBreak/>
        <w:t>The Proposal</w:t>
      </w:r>
      <w:bookmarkEnd w:id="1"/>
      <w:bookmarkEnd w:id="2"/>
      <w:bookmarkEnd w:id="3"/>
    </w:p>
    <w:p w14:paraId="3128D927" w14:textId="75FDDDA3" w:rsidR="005575FE" w:rsidRPr="005575FE" w:rsidRDefault="00602773" w:rsidP="005575FE">
      <w:pPr>
        <w:pStyle w:val="ListParagraph"/>
        <w:numPr>
          <w:ilvl w:val="0"/>
          <w:numId w:val="29"/>
        </w:numPr>
        <w:ind w:left="0" w:firstLine="0"/>
        <w:jc w:val="both"/>
        <w:rPr>
          <w:rFonts w:cs="Arial"/>
        </w:rPr>
      </w:pPr>
      <w:r w:rsidRPr="00703618">
        <w:rPr>
          <w:rFonts w:cs="Arial"/>
          <w:color w:val="000000" w:themeColor="text1"/>
        </w:rPr>
        <w:t xml:space="preserve">I submit for your approval the following report and recommendation on a </w:t>
      </w:r>
      <w:r w:rsidR="007D22C3">
        <w:rPr>
          <w:rFonts w:cs="Arial"/>
          <w:color w:val="000000" w:themeColor="text1"/>
        </w:rPr>
        <w:t xml:space="preserve">(i) </w:t>
      </w:r>
      <w:r w:rsidRPr="00703618">
        <w:rPr>
          <w:rFonts w:cs="Arial"/>
          <w:color w:val="000000" w:themeColor="text1"/>
        </w:rPr>
        <w:t xml:space="preserve">proposed </w:t>
      </w:r>
      <w:r w:rsidR="000420B4">
        <w:rPr>
          <w:rFonts w:cs="Arial"/>
          <w:color w:val="000000" w:themeColor="text1"/>
        </w:rPr>
        <w:t xml:space="preserve"> </w:t>
      </w:r>
      <w:r w:rsidR="000E70B6">
        <w:rPr>
          <w:rFonts w:cs="Arial"/>
          <w:color w:val="000000" w:themeColor="text1"/>
        </w:rPr>
        <w:t>programmatic approach</w:t>
      </w:r>
      <w:r w:rsidR="00446EF7">
        <w:rPr>
          <w:rFonts w:cs="Arial"/>
          <w:color w:val="000000" w:themeColor="text1"/>
        </w:rPr>
        <w:t xml:space="preserve"> for the</w:t>
      </w:r>
      <w:r w:rsidR="000E70B6">
        <w:rPr>
          <w:rFonts w:cs="Arial"/>
          <w:color w:val="000000" w:themeColor="text1"/>
        </w:rPr>
        <w:t xml:space="preserve"> </w:t>
      </w:r>
      <w:r w:rsidR="008E055D">
        <w:rPr>
          <w:rFonts w:cs="Arial"/>
          <w:color w:val="000000" w:themeColor="text1"/>
        </w:rPr>
        <w:t>Fiscal</w:t>
      </w:r>
      <w:r w:rsidR="007D5D25">
        <w:rPr>
          <w:rFonts w:cs="Arial"/>
          <w:color w:val="000000" w:themeColor="text1"/>
        </w:rPr>
        <w:t xml:space="preserve"> Resilience and Social Protection Program</w:t>
      </w:r>
      <w:r w:rsidR="008F32E0">
        <w:rPr>
          <w:rFonts w:cs="Arial"/>
          <w:color w:val="000000" w:themeColor="text1"/>
        </w:rPr>
        <w:t xml:space="preserve">, and (ii) </w:t>
      </w:r>
      <w:r w:rsidR="004F3CB8">
        <w:rPr>
          <w:rFonts w:cs="Arial"/>
          <w:color w:val="000000" w:themeColor="text1"/>
        </w:rPr>
        <w:t xml:space="preserve">a </w:t>
      </w:r>
      <w:r w:rsidR="008F32E0">
        <w:rPr>
          <w:rFonts w:cs="Arial"/>
          <w:color w:val="000000" w:themeColor="text1"/>
        </w:rPr>
        <w:t xml:space="preserve">proposed </w:t>
      </w:r>
      <w:r w:rsidR="000E70B6">
        <w:rPr>
          <w:rFonts w:cs="Arial"/>
          <w:color w:val="000000" w:themeColor="text1"/>
        </w:rPr>
        <w:t xml:space="preserve"> </w:t>
      </w:r>
      <w:r w:rsidR="000420B4">
        <w:rPr>
          <w:rFonts w:cs="Arial"/>
          <w:color w:val="000000" w:themeColor="text1"/>
        </w:rPr>
        <w:t>p</w:t>
      </w:r>
      <w:r w:rsidRPr="00703618">
        <w:rPr>
          <w:rFonts w:cs="Arial"/>
          <w:color w:val="000000" w:themeColor="text1"/>
        </w:rPr>
        <w:t>olicy-based loan</w:t>
      </w:r>
      <w:r w:rsidR="45EAF572" w:rsidRPr="00703618">
        <w:rPr>
          <w:rFonts w:cs="Arial"/>
          <w:color w:val="000000" w:themeColor="text1"/>
        </w:rPr>
        <w:t xml:space="preserve"> </w:t>
      </w:r>
      <w:r w:rsidRPr="00703618">
        <w:rPr>
          <w:rFonts w:cs="Arial"/>
          <w:color w:val="000000" w:themeColor="text1"/>
        </w:rPr>
        <w:t xml:space="preserve">to </w:t>
      </w:r>
      <w:r w:rsidR="00703618" w:rsidRPr="00703618">
        <w:rPr>
          <w:rFonts w:cs="Arial"/>
          <w:snapToGrid w:val="0"/>
          <w:color w:val="000000" w:themeColor="text1"/>
        </w:rPr>
        <w:t>Georgia</w:t>
      </w:r>
      <w:r w:rsidRPr="00703618">
        <w:rPr>
          <w:rFonts w:cs="Arial"/>
          <w:color w:val="000000" w:themeColor="text1"/>
        </w:rPr>
        <w:t xml:space="preserve"> for </w:t>
      </w:r>
      <w:r w:rsidR="003B1325">
        <w:rPr>
          <w:rFonts w:cs="Arial"/>
          <w:color w:val="000000" w:themeColor="text1"/>
        </w:rPr>
        <w:t xml:space="preserve">subprogram 1 of the </w:t>
      </w:r>
      <w:r w:rsidRPr="00703618">
        <w:rPr>
          <w:rFonts w:cs="Arial"/>
          <w:color w:val="000000" w:themeColor="text1"/>
        </w:rPr>
        <w:t xml:space="preserve">the </w:t>
      </w:r>
      <w:r w:rsidR="00703618" w:rsidRPr="00703618">
        <w:rPr>
          <w:rFonts w:cs="Arial"/>
          <w:snapToGrid w:val="0"/>
          <w:color w:val="000000" w:themeColor="text1"/>
        </w:rPr>
        <w:t>Fiscal Resilience and Social Protection Support Program (</w:t>
      </w:r>
      <w:r w:rsidR="009C72EF">
        <w:rPr>
          <w:rFonts w:cs="Arial"/>
          <w:snapToGrid w:val="0"/>
          <w:color w:val="000000" w:themeColor="text1"/>
        </w:rPr>
        <w:t>p</w:t>
      </w:r>
      <w:r w:rsidR="00703618" w:rsidRPr="00703618">
        <w:rPr>
          <w:rFonts w:cs="Arial"/>
          <w:snapToGrid w:val="0"/>
          <w:color w:val="000000" w:themeColor="text1"/>
        </w:rPr>
        <w:t>rogram</w:t>
      </w:r>
      <w:r w:rsidR="00703618">
        <w:rPr>
          <w:rFonts w:cs="Arial"/>
          <w:snapToGrid w:val="0"/>
          <w:color w:val="000000" w:themeColor="text1"/>
        </w:rPr>
        <w:t>)</w:t>
      </w:r>
      <w:r w:rsidR="00532D0A">
        <w:rPr>
          <w:rFonts w:cs="Arial"/>
          <w:snapToGrid w:val="0"/>
          <w:color w:val="000000" w:themeColor="text1"/>
        </w:rPr>
        <w:t>.</w:t>
      </w:r>
      <w:r w:rsidR="00593251" w:rsidRPr="4A95A3AF">
        <w:rPr>
          <w:rFonts w:eastAsia="SimSun" w:cs="Arial"/>
          <w:color w:val="000000" w:themeColor="text1"/>
          <w:vertAlign w:val="superscript"/>
          <w:lang w:eastAsia="en-US"/>
        </w:rPr>
        <w:footnoteReference w:id="2"/>
      </w:r>
    </w:p>
    <w:p w14:paraId="5EF88FFE" w14:textId="77777777" w:rsidR="005575FE" w:rsidRPr="005575FE" w:rsidRDefault="005575FE" w:rsidP="005575FE">
      <w:pPr>
        <w:pStyle w:val="ListParagraph"/>
        <w:ind w:left="0"/>
        <w:jc w:val="both"/>
        <w:rPr>
          <w:rFonts w:cs="Arial"/>
        </w:rPr>
      </w:pPr>
    </w:p>
    <w:p w14:paraId="2505D5EF" w14:textId="09C0595D" w:rsidR="00117608" w:rsidRPr="005575FE" w:rsidRDefault="006F1388" w:rsidP="005575FE">
      <w:pPr>
        <w:pStyle w:val="ListParagraph"/>
        <w:numPr>
          <w:ilvl w:val="0"/>
          <w:numId w:val="29"/>
        </w:numPr>
        <w:ind w:left="0" w:firstLine="0"/>
        <w:jc w:val="both"/>
        <w:rPr>
          <w:rFonts w:eastAsia="Arial" w:cs="Arial"/>
          <w:szCs w:val="22"/>
        </w:rPr>
      </w:pPr>
      <w:r w:rsidRPr="005575FE">
        <w:rPr>
          <w:rFonts w:cs="Arial"/>
        </w:rPr>
        <w:t xml:space="preserve">The proposed </w:t>
      </w:r>
      <w:r w:rsidR="002F2A8B">
        <w:rPr>
          <w:rFonts w:cs="Arial"/>
        </w:rPr>
        <w:t>p</w:t>
      </w:r>
      <w:r w:rsidRPr="005575FE">
        <w:rPr>
          <w:rFonts w:cs="Arial"/>
        </w:rPr>
        <w:t xml:space="preserve">rogram is part of a comprehensive and integrated package of support from the Asian Development Bank (ADB) to the Government of </w:t>
      </w:r>
      <w:r w:rsidR="00FB0502" w:rsidRPr="005575FE">
        <w:rPr>
          <w:rFonts w:cs="Arial"/>
        </w:rPr>
        <w:t>Georgia</w:t>
      </w:r>
      <w:r w:rsidRPr="005575FE">
        <w:rPr>
          <w:rFonts w:cs="Arial"/>
        </w:rPr>
        <w:t xml:space="preserve"> </w:t>
      </w:r>
      <w:r w:rsidR="00CE73C1">
        <w:rPr>
          <w:rFonts w:cs="Arial"/>
        </w:rPr>
        <w:t xml:space="preserve">(the government) </w:t>
      </w:r>
      <w:r w:rsidRPr="005575FE">
        <w:rPr>
          <w:rFonts w:cs="Arial"/>
        </w:rPr>
        <w:t xml:space="preserve">to help address </w:t>
      </w:r>
      <w:r w:rsidR="00D22677" w:rsidRPr="005575FE">
        <w:rPr>
          <w:rFonts w:cs="Arial"/>
        </w:rPr>
        <w:t>adverse health, social</w:t>
      </w:r>
      <w:r w:rsidR="00B352E7">
        <w:rPr>
          <w:rFonts w:cs="Arial"/>
        </w:rPr>
        <w:t>,</w:t>
      </w:r>
      <w:r w:rsidR="00D22677" w:rsidRPr="005575FE">
        <w:rPr>
          <w:rFonts w:cs="Arial"/>
        </w:rPr>
        <w:t xml:space="preserve"> and economic</w:t>
      </w:r>
      <w:r w:rsidRPr="005575FE">
        <w:rPr>
          <w:rFonts w:cs="Arial"/>
        </w:rPr>
        <w:t xml:space="preserve"> impacts of the cor</w:t>
      </w:r>
      <w:r w:rsidR="73BF3A11" w:rsidRPr="005575FE">
        <w:rPr>
          <w:rFonts w:cs="Arial"/>
        </w:rPr>
        <w:t>o</w:t>
      </w:r>
      <w:r w:rsidRPr="005575FE">
        <w:rPr>
          <w:rFonts w:cs="Arial"/>
        </w:rPr>
        <w:t>n</w:t>
      </w:r>
      <w:r w:rsidR="7636F60B" w:rsidRPr="005575FE">
        <w:rPr>
          <w:rFonts w:cs="Arial"/>
        </w:rPr>
        <w:t>a</w:t>
      </w:r>
      <w:r w:rsidRPr="005575FE">
        <w:rPr>
          <w:rFonts w:cs="Arial"/>
        </w:rPr>
        <w:t>virus disease (COVID-19) pandemic</w:t>
      </w:r>
      <w:r w:rsidR="00D22677" w:rsidRPr="005575FE">
        <w:rPr>
          <w:rFonts w:cs="Arial"/>
        </w:rPr>
        <w:t>.</w:t>
      </w:r>
      <w:r w:rsidR="0082038D">
        <w:rPr>
          <w:rStyle w:val="FootnoteReference"/>
        </w:rPr>
        <w:footnoteReference w:id="3"/>
      </w:r>
      <w:r w:rsidR="00D22677" w:rsidRPr="005575FE">
        <w:rPr>
          <w:rFonts w:cs="Arial"/>
        </w:rPr>
        <w:t xml:space="preserve"> The </w:t>
      </w:r>
      <w:r w:rsidR="008C7E5F">
        <w:rPr>
          <w:rFonts w:cs="Arial"/>
        </w:rPr>
        <w:t>p</w:t>
      </w:r>
      <w:r w:rsidR="00551C69" w:rsidRPr="005575FE">
        <w:rPr>
          <w:rFonts w:cs="Arial"/>
        </w:rPr>
        <w:t xml:space="preserve">rogram supports Georgia’s return to inclusive economic growth by addressing longstanding institutional fragilities </w:t>
      </w:r>
      <w:r w:rsidR="009D0F43">
        <w:rPr>
          <w:rFonts w:cs="Arial"/>
        </w:rPr>
        <w:t xml:space="preserve">in social protection, fiscal, and debt management </w:t>
      </w:r>
      <w:r w:rsidR="00551C69" w:rsidRPr="005575FE">
        <w:rPr>
          <w:rFonts w:cs="Arial"/>
        </w:rPr>
        <w:t xml:space="preserve">that were </w:t>
      </w:r>
      <w:r w:rsidR="00AB6A3D">
        <w:rPr>
          <w:rFonts w:cs="Arial"/>
        </w:rPr>
        <w:t>exacerabted</w:t>
      </w:r>
      <w:r w:rsidR="60A2A524" w:rsidRPr="42F802ED">
        <w:rPr>
          <w:rFonts w:cs="Arial"/>
        </w:rPr>
        <w:t xml:space="preserve"> by </w:t>
      </w:r>
      <w:r w:rsidR="126ABC22" w:rsidRPr="005575FE">
        <w:rPr>
          <w:rFonts w:cs="Arial"/>
        </w:rPr>
        <w:t>the COVID-19 crisis</w:t>
      </w:r>
      <w:r w:rsidR="53330411" w:rsidRPr="005575FE">
        <w:rPr>
          <w:rFonts w:cs="Arial"/>
        </w:rPr>
        <w:t xml:space="preserve"> and require immediate response</w:t>
      </w:r>
      <w:r w:rsidR="126ABC22" w:rsidRPr="005575FE">
        <w:rPr>
          <w:rFonts w:cs="Arial"/>
        </w:rPr>
        <w:t xml:space="preserve">. </w:t>
      </w:r>
      <w:bookmarkStart w:id="4" w:name="_Hlk50209315"/>
      <w:r w:rsidR="00506906">
        <w:rPr>
          <w:rFonts w:cs="Arial"/>
        </w:rPr>
        <w:t>T</w:t>
      </w:r>
      <w:r w:rsidR="2D921B65" w:rsidRPr="4A95A3AF">
        <w:rPr>
          <w:rFonts w:cs="Arial"/>
        </w:rPr>
        <w:t>he policy actions</w:t>
      </w:r>
      <w:r w:rsidR="00506906">
        <w:rPr>
          <w:rFonts w:cs="Arial"/>
        </w:rPr>
        <w:t xml:space="preserve"> proposed under the program</w:t>
      </w:r>
      <w:r w:rsidR="2D921B65" w:rsidRPr="4A95A3AF">
        <w:rPr>
          <w:rFonts w:cs="Arial"/>
        </w:rPr>
        <w:t xml:space="preserve"> ar</w:t>
      </w:r>
      <w:r w:rsidR="7B7E673C" w:rsidRPr="4A95A3AF">
        <w:rPr>
          <w:rFonts w:cs="Arial"/>
        </w:rPr>
        <w:t xml:space="preserve">e critical </w:t>
      </w:r>
      <w:r w:rsidR="00E2438C">
        <w:rPr>
          <w:rFonts w:cs="Arial"/>
        </w:rPr>
        <w:t>to address</w:t>
      </w:r>
      <w:r w:rsidR="2D921B65" w:rsidRPr="4A95A3AF">
        <w:rPr>
          <w:rFonts w:cs="Arial"/>
        </w:rPr>
        <w:t xml:space="preserve"> the</w:t>
      </w:r>
      <w:r w:rsidR="00E2438C">
        <w:rPr>
          <w:rFonts w:cs="Arial"/>
        </w:rPr>
        <w:t xml:space="preserve"> </w:t>
      </w:r>
      <w:r w:rsidR="2D921B65" w:rsidRPr="4A95A3AF">
        <w:rPr>
          <w:rFonts w:cs="Arial"/>
        </w:rPr>
        <w:t>economic</w:t>
      </w:r>
      <w:r w:rsidR="38AB1D28" w:rsidRPr="4A95A3AF">
        <w:rPr>
          <w:rFonts w:cs="Arial"/>
        </w:rPr>
        <w:t xml:space="preserve"> </w:t>
      </w:r>
      <w:r w:rsidR="2D921B65" w:rsidRPr="4A95A3AF">
        <w:rPr>
          <w:rFonts w:cs="Arial"/>
        </w:rPr>
        <w:t>impact of COVI</w:t>
      </w:r>
      <w:r w:rsidR="43021389" w:rsidRPr="4A95A3AF">
        <w:rPr>
          <w:rFonts w:cs="Arial"/>
        </w:rPr>
        <w:t>D-19</w:t>
      </w:r>
      <w:r w:rsidR="001045ED">
        <w:rPr>
          <w:rFonts w:cs="Arial"/>
        </w:rPr>
        <w:t>, ensuring macroeconomic stability</w:t>
      </w:r>
      <w:r w:rsidR="00BD650B">
        <w:rPr>
          <w:rFonts w:cs="Arial"/>
        </w:rPr>
        <w:t xml:space="preserve"> in the medium to long term</w:t>
      </w:r>
      <w:r w:rsidR="001045ED">
        <w:rPr>
          <w:rFonts w:cs="Arial"/>
        </w:rPr>
        <w:t xml:space="preserve"> whilst continuing to protect the livelihoods of those most affected by the COVID-19 crisis. </w:t>
      </w:r>
      <w:bookmarkEnd w:id="4"/>
      <w:r w:rsidR="006A09F0">
        <w:rPr>
          <w:rFonts w:cs="Arial"/>
        </w:rPr>
        <w:t>D</w:t>
      </w:r>
      <w:r w:rsidR="00E25880">
        <w:rPr>
          <w:rFonts w:cs="Arial"/>
        </w:rPr>
        <w:t>elaying the policy actions of the program would</w:t>
      </w:r>
      <w:r w:rsidR="004A7FE1">
        <w:rPr>
          <w:rFonts w:cs="Arial"/>
        </w:rPr>
        <w:t xml:space="preserve"> expose the government to </w:t>
      </w:r>
      <w:r w:rsidR="00F93926">
        <w:rPr>
          <w:rFonts w:cs="Arial"/>
        </w:rPr>
        <w:t>unplanned</w:t>
      </w:r>
      <w:r w:rsidR="004A7FE1">
        <w:rPr>
          <w:rFonts w:cs="Arial"/>
        </w:rPr>
        <w:t xml:space="preserve"> </w:t>
      </w:r>
      <w:r w:rsidR="00F93926">
        <w:rPr>
          <w:rFonts w:cs="Arial"/>
        </w:rPr>
        <w:t xml:space="preserve">increases in the </w:t>
      </w:r>
      <w:r w:rsidR="004A7FE1">
        <w:rPr>
          <w:rFonts w:cs="Arial"/>
        </w:rPr>
        <w:t xml:space="preserve">fiscal deficit due to </w:t>
      </w:r>
      <w:r w:rsidR="00F93926">
        <w:rPr>
          <w:rFonts w:cs="Arial"/>
        </w:rPr>
        <w:t>fiscal risks</w:t>
      </w:r>
      <w:r w:rsidR="000055DD">
        <w:rPr>
          <w:rFonts w:cs="Arial"/>
        </w:rPr>
        <w:t xml:space="preserve"> which are more likely to materialize during the ongoing crisis and </w:t>
      </w:r>
      <w:r w:rsidR="005D59C4">
        <w:rPr>
          <w:rFonts w:cs="Arial"/>
        </w:rPr>
        <w:t xml:space="preserve">continued accumulation of </w:t>
      </w:r>
      <w:r w:rsidR="000055DD">
        <w:rPr>
          <w:rFonts w:cs="Arial"/>
        </w:rPr>
        <w:t>foreign-currency denominated</w:t>
      </w:r>
      <w:r w:rsidR="005D59C4">
        <w:rPr>
          <w:rFonts w:cs="Arial"/>
        </w:rPr>
        <w:t xml:space="preserve"> debt</w:t>
      </w:r>
      <w:r w:rsidR="00E44CF7">
        <w:rPr>
          <w:rFonts w:cs="Arial"/>
        </w:rPr>
        <w:t xml:space="preserve"> and</w:t>
      </w:r>
      <w:r w:rsidR="000055DD">
        <w:rPr>
          <w:rFonts w:cs="Arial"/>
        </w:rPr>
        <w:t xml:space="preserve"> </w:t>
      </w:r>
      <w:r w:rsidR="00E44CF7">
        <w:rPr>
          <w:rFonts w:cs="Arial"/>
        </w:rPr>
        <w:t>higher exposure to currency and refinancing risks</w:t>
      </w:r>
      <w:r w:rsidR="000055DD">
        <w:rPr>
          <w:rFonts w:cs="Arial"/>
        </w:rPr>
        <w:t xml:space="preserve">. </w:t>
      </w:r>
      <w:r w:rsidR="00C46D84">
        <w:rPr>
          <w:rFonts w:cs="Arial"/>
        </w:rPr>
        <w:t>At the same time</w:t>
      </w:r>
      <w:r w:rsidR="00C53F9D">
        <w:rPr>
          <w:rFonts w:cs="Arial"/>
        </w:rPr>
        <w:t>,</w:t>
      </w:r>
      <w:r w:rsidR="00CB7C36">
        <w:rPr>
          <w:rFonts w:cs="Arial"/>
        </w:rPr>
        <w:t xml:space="preserve"> immediate </w:t>
      </w:r>
      <w:r w:rsidR="00181137">
        <w:rPr>
          <w:rFonts w:cs="Arial"/>
        </w:rPr>
        <w:t xml:space="preserve">reforms are needed to </w:t>
      </w:r>
      <w:r w:rsidR="00963DF1">
        <w:rPr>
          <w:rFonts w:cs="Arial"/>
        </w:rPr>
        <w:t>safeguard</w:t>
      </w:r>
      <w:r w:rsidR="00181137">
        <w:rPr>
          <w:rFonts w:cs="Arial"/>
        </w:rPr>
        <w:t xml:space="preserve"> the well being of</w:t>
      </w:r>
      <w:r w:rsidR="00C53F9D">
        <w:rPr>
          <w:rFonts w:cs="Arial"/>
        </w:rPr>
        <w:t xml:space="preserve"> older adults, many of whom have lost some of their supplementary sources of </w:t>
      </w:r>
      <w:r w:rsidR="004902D4">
        <w:rPr>
          <w:rFonts w:cs="Arial"/>
        </w:rPr>
        <w:t xml:space="preserve">income </w:t>
      </w:r>
      <w:r w:rsidR="00C53F9D">
        <w:rPr>
          <w:rFonts w:cs="Arial"/>
        </w:rPr>
        <w:t xml:space="preserve">due to the COVID-19 crisis. </w:t>
      </w:r>
      <w:r w:rsidR="00B37EDA" w:rsidRPr="005575FE">
        <w:rPr>
          <w:rFonts w:cs="Arial"/>
        </w:rPr>
        <w:t xml:space="preserve">The </w:t>
      </w:r>
      <w:r w:rsidR="009C72EF">
        <w:rPr>
          <w:rFonts w:cs="Arial"/>
        </w:rPr>
        <w:t>p</w:t>
      </w:r>
      <w:r w:rsidR="00B37EDA" w:rsidRPr="005575FE">
        <w:rPr>
          <w:rFonts w:cs="Arial"/>
        </w:rPr>
        <w:t>rogram is aligned with ADB’s Strategy 2030, including operational priorities on addressing remaining poverty and reducing inequalities, accelerating progress in gender equality, strengthening governance and institutional capacity</w:t>
      </w:r>
      <w:r w:rsidR="34D8AB0F" w:rsidRPr="005575FE">
        <w:rPr>
          <w:rFonts w:cs="Arial"/>
        </w:rPr>
        <w:t>.</w:t>
      </w:r>
      <w:r w:rsidR="00B37EDA" w:rsidRPr="005575FE">
        <w:rPr>
          <w:rFonts w:cs="Arial"/>
          <w:color w:val="000000" w:themeColor="text1"/>
        </w:rPr>
        <w:t xml:space="preserve"> </w:t>
      </w:r>
      <w:r w:rsidR="00B37EDA" w:rsidRPr="005575FE">
        <w:rPr>
          <w:rFonts w:eastAsia="SimSun" w:cs="Arial"/>
          <w:color w:val="000000" w:themeColor="text1"/>
        </w:rPr>
        <w:t xml:space="preserve">The </w:t>
      </w:r>
      <w:r w:rsidR="00DF69C3">
        <w:rPr>
          <w:rFonts w:eastAsia="SimSun" w:cs="Arial"/>
          <w:color w:val="000000" w:themeColor="text1"/>
        </w:rPr>
        <w:t>p</w:t>
      </w:r>
      <w:r w:rsidR="00B37EDA" w:rsidRPr="005575FE">
        <w:rPr>
          <w:rFonts w:eastAsia="SimSun" w:cs="Arial"/>
          <w:color w:val="000000" w:themeColor="text1"/>
        </w:rPr>
        <w:t xml:space="preserve">rogram is also aligned with </w:t>
      </w:r>
      <w:r w:rsidR="00B37EDA" w:rsidRPr="005575FE">
        <w:rPr>
          <w:rFonts w:cs="Arial"/>
        </w:rPr>
        <w:t>the ADB Country Partnership Strategy 201</w:t>
      </w:r>
      <w:r w:rsidR="00450A45">
        <w:rPr>
          <w:rFonts w:cs="Arial"/>
        </w:rPr>
        <w:t>9</w:t>
      </w:r>
      <w:r w:rsidR="00175F6B">
        <w:rPr>
          <w:rFonts w:cs="Arial"/>
        </w:rPr>
        <w:t>-</w:t>
      </w:r>
      <w:r w:rsidR="00B37EDA" w:rsidRPr="005575FE">
        <w:rPr>
          <w:rFonts w:cs="Arial"/>
        </w:rPr>
        <w:t>202</w:t>
      </w:r>
      <w:r w:rsidR="00450A45">
        <w:rPr>
          <w:rFonts w:cs="Arial"/>
        </w:rPr>
        <w:t>3</w:t>
      </w:r>
      <w:r w:rsidR="00B37EDA" w:rsidRPr="005575FE">
        <w:rPr>
          <w:rFonts w:cs="Arial"/>
        </w:rPr>
        <w:t xml:space="preserve"> for </w:t>
      </w:r>
      <w:r w:rsidR="00643616" w:rsidRPr="005575FE">
        <w:rPr>
          <w:rFonts w:cs="Arial"/>
        </w:rPr>
        <w:t>Georgia</w:t>
      </w:r>
      <w:r w:rsidR="00117608" w:rsidRPr="005575FE">
        <w:rPr>
          <w:rFonts w:cs="Arial"/>
        </w:rPr>
        <w:t>.</w:t>
      </w:r>
    </w:p>
    <w:p w14:paraId="18C176C8" w14:textId="09764BDC" w:rsidR="003F1B0B" w:rsidRPr="00950EA0" w:rsidRDefault="003F1B0B" w:rsidP="00950EA0">
      <w:pPr>
        <w:rPr>
          <w:rFonts w:cs="Arial"/>
          <w:color w:val="FF0000"/>
        </w:rPr>
      </w:pPr>
    </w:p>
    <w:p w14:paraId="5A4A4699" w14:textId="43041B92" w:rsidR="003F1B0B" w:rsidRDefault="003F1B0B" w:rsidP="007968C1">
      <w:pPr>
        <w:pStyle w:val="Heading1"/>
        <w:ind w:left="0" w:firstLine="0"/>
      </w:pPr>
      <w:bookmarkStart w:id="5" w:name="_Toc49870243"/>
      <w:r w:rsidRPr="00BB526D">
        <w:t xml:space="preserve">Program </w:t>
      </w:r>
      <w:r>
        <w:t>and Rationale</w:t>
      </w:r>
      <w:bookmarkEnd w:id="5"/>
    </w:p>
    <w:p w14:paraId="6E834857" w14:textId="77777777" w:rsidR="003F1B0B" w:rsidRPr="00D043F8" w:rsidRDefault="003F1B0B" w:rsidP="003F1B0B">
      <w:pPr>
        <w:keepNext/>
      </w:pPr>
    </w:p>
    <w:p w14:paraId="3D7B1137" w14:textId="385D04A9" w:rsidR="003F1B0B" w:rsidRDefault="00DE162D" w:rsidP="00DB518A">
      <w:pPr>
        <w:pStyle w:val="Heading2"/>
        <w:ind w:left="0" w:firstLine="0"/>
        <w:jc w:val="left"/>
        <w:rPr>
          <w:snapToGrid w:val="0"/>
        </w:rPr>
      </w:pPr>
      <w:bookmarkStart w:id="6" w:name="_Toc49870244"/>
      <w:r>
        <w:rPr>
          <w:snapToGrid w:val="0"/>
        </w:rPr>
        <w:t xml:space="preserve">Background and </w:t>
      </w:r>
      <w:r w:rsidR="003F1B0B">
        <w:rPr>
          <w:snapToGrid w:val="0"/>
        </w:rPr>
        <w:t>Development Constraints</w:t>
      </w:r>
      <w:bookmarkEnd w:id="6"/>
      <w:r w:rsidR="0076075F">
        <w:rPr>
          <w:snapToGrid w:val="0"/>
        </w:rPr>
        <w:t xml:space="preserve"> </w:t>
      </w:r>
    </w:p>
    <w:p w14:paraId="0A192D18" w14:textId="77777777" w:rsidR="00D26B09" w:rsidRPr="00117608" w:rsidRDefault="00D26B09" w:rsidP="00D26B09"/>
    <w:p w14:paraId="493F6B2D" w14:textId="77DFE89C" w:rsidR="00CD34C2" w:rsidRPr="00117608" w:rsidRDefault="00285191" w:rsidP="00FE2981">
      <w:pPr>
        <w:pStyle w:val="ListParagraph"/>
        <w:widowControl w:val="0"/>
        <w:numPr>
          <w:ilvl w:val="0"/>
          <w:numId w:val="29"/>
        </w:numPr>
        <w:ind w:left="0" w:firstLine="0"/>
        <w:jc w:val="both"/>
        <w:rPr>
          <w:rFonts w:cs="Arial"/>
          <w:color w:val="FF0000"/>
        </w:rPr>
      </w:pPr>
      <w:r w:rsidRPr="00C622EC">
        <w:rPr>
          <w:rFonts w:cs="Arial"/>
          <w:b/>
        </w:rPr>
        <w:t xml:space="preserve">Georgia’s early </w:t>
      </w:r>
      <w:r w:rsidR="00710FFA" w:rsidRPr="00C622EC">
        <w:rPr>
          <w:rFonts w:cs="Arial"/>
          <w:b/>
        </w:rPr>
        <w:t>adoption of effective public health</w:t>
      </w:r>
      <w:r w:rsidR="00A37CDC" w:rsidRPr="00C622EC">
        <w:rPr>
          <w:rFonts w:cs="Arial"/>
          <w:b/>
        </w:rPr>
        <w:t xml:space="preserve"> measures </w:t>
      </w:r>
      <w:r w:rsidRPr="00C622EC">
        <w:rPr>
          <w:rFonts w:cs="Arial"/>
          <w:b/>
        </w:rPr>
        <w:t>have been largely effective at containing the spread of COVID-19.</w:t>
      </w:r>
      <w:r w:rsidR="005C38B7" w:rsidRPr="00117608">
        <w:rPr>
          <w:rFonts w:cs="Arial"/>
        </w:rPr>
        <w:t xml:space="preserve"> </w:t>
      </w:r>
      <w:r w:rsidR="007A448B" w:rsidRPr="00117608">
        <w:rPr>
          <w:rFonts w:cs="Arial"/>
        </w:rPr>
        <w:t xml:space="preserve">As of the </w:t>
      </w:r>
      <w:r w:rsidR="00B333B8">
        <w:rPr>
          <w:rFonts w:cs="Arial"/>
        </w:rPr>
        <w:t>23</w:t>
      </w:r>
      <w:r w:rsidR="007A448B" w:rsidRPr="00117608">
        <w:rPr>
          <w:rFonts w:cs="Arial"/>
        </w:rPr>
        <w:t xml:space="preserve"> August 2020, Georgia counted 1,411 confirmed cases since the start of the pandemic, 1,132 of which have recovered and with 17 fatalities.</w:t>
      </w:r>
      <w:r w:rsidR="00F37C76">
        <w:rPr>
          <w:rStyle w:val="FootnoteReference"/>
        </w:rPr>
        <w:footnoteReference w:id="4"/>
      </w:r>
      <w:r w:rsidR="007A448B" w:rsidRPr="00117608">
        <w:rPr>
          <w:rFonts w:cs="Arial"/>
        </w:rPr>
        <w:t xml:space="preserve"> </w:t>
      </w:r>
      <w:r w:rsidR="00A37CDC" w:rsidRPr="00117608">
        <w:rPr>
          <w:rFonts w:cs="Arial"/>
        </w:rPr>
        <w:t xml:space="preserve">From the outset the country imposed health checks on incoming air passengers and ramped up restrictions on movement as the first cases emerged. The government’s clear and consistent communications </w:t>
      </w:r>
      <w:r w:rsidR="004902D4">
        <w:rPr>
          <w:rFonts w:cs="Arial"/>
        </w:rPr>
        <w:t xml:space="preserve">were instrumental </w:t>
      </w:r>
      <w:r w:rsidR="008E3B6D">
        <w:rPr>
          <w:rFonts w:cs="Arial"/>
        </w:rPr>
        <w:t>to avoid</w:t>
      </w:r>
      <w:r w:rsidR="00117528">
        <w:rPr>
          <w:rFonts w:cs="Arial"/>
        </w:rPr>
        <w:t xml:space="preserve"> widespread </w:t>
      </w:r>
      <w:r w:rsidR="008E3B6D">
        <w:rPr>
          <w:rFonts w:cs="Arial"/>
        </w:rPr>
        <w:t>contagion</w:t>
      </w:r>
      <w:r w:rsidR="00A37CDC" w:rsidRPr="00117608">
        <w:rPr>
          <w:rFonts w:cs="Arial"/>
        </w:rPr>
        <w:t>.</w:t>
      </w:r>
      <w:r w:rsidR="00710FFA" w:rsidRPr="00117608">
        <w:rPr>
          <w:rFonts w:cs="Arial"/>
        </w:rPr>
        <w:t xml:space="preserve"> </w:t>
      </w:r>
      <w:r w:rsidR="007D6532" w:rsidRPr="00117608">
        <w:rPr>
          <w:rFonts w:cs="Arial"/>
        </w:rPr>
        <w:t xml:space="preserve">The gradual and phased lifting of lockdown </w:t>
      </w:r>
      <w:r w:rsidR="003D7CE1" w:rsidRPr="00117608">
        <w:rPr>
          <w:rFonts w:cs="Arial"/>
        </w:rPr>
        <w:t>measures was accompanied by</w:t>
      </w:r>
      <w:r w:rsidR="00197CAA" w:rsidRPr="00117608">
        <w:rPr>
          <w:rFonts w:cs="Arial"/>
        </w:rPr>
        <w:t xml:space="preserve"> </w:t>
      </w:r>
      <w:r w:rsidR="002941E8" w:rsidRPr="00117608">
        <w:rPr>
          <w:rFonts w:cs="Arial"/>
        </w:rPr>
        <w:t xml:space="preserve">a clear communication strategy </w:t>
      </w:r>
      <w:r w:rsidR="08F0BA14" w:rsidRPr="00117608">
        <w:rPr>
          <w:rFonts w:cs="Arial"/>
        </w:rPr>
        <w:t>identifying</w:t>
      </w:r>
      <w:r w:rsidR="002941E8" w:rsidRPr="00117608">
        <w:rPr>
          <w:rFonts w:cs="Arial"/>
        </w:rPr>
        <w:t xml:space="preserve"> </w:t>
      </w:r>
      <w:r w:rsidR="003C0FBF" w:rsidRPr="00117608">
        <w:rPr>
          <w:rFonts w:cs="Arial"/>
        </w:rPr>
        <w:t xml:space="preserve">recommendations </w:t>
      </w:r>
      <w:r w:rsidR="002941E8" w:rsidRPr="00117608">
        <w:rPr>
          <w:rFonts w:cs="Arial"/>
        </w:rPr>
        <w:t xml:space="preserve">by health professionals to help </w:t>
      </w:r>
      <w:r w:rsidR="00291D41" w:rsidRPr="00117608">
        <w:rPr>
          <w:rFonts w:cs="Arial"/>
        </w:rPr>
        <w:t xml:space="preserve">prevent </w:t>
      </w:r>
      <w:r w:rsidR="002941E8" w:rsidRPr="00117608">
        <w:rPr>
          <w:rFonts w:cs="Arial"/>
        </w:rPr>
        <w:t>a resurgence in incidence.</w:t>
      </w:r>
      <w:r w:rsidR="0014673B">
        <w:rPr>
          <w:rStyle w:val="FootnoteReference"/>
        </w:rPr>
        <w:footnoteReference w:id="5"/>
      </w:r>
      <w:r w:rsidR="0014673B">
        <w:rPr>
          <w:rFonts w:cs="Arial"/>
        </w:rPr>
        <w:t xml:space="preserve"> </w:t>
      </w:r>
      <w:r w:rsidR="006E1879">
        <w:rPr>
          <w:rFonts w:cs="Arial"/>
        </w:rPr>
        <w:t>Public c</w:t>
      </w:r>
      <w:r w:rsidR="00117608" w:rsidRPr="00117608">
        <w:rPr>
          <w:rFonts w:cs="Arial"/>
        </w:rPr>
        <w:t xml:space="preserve">ompliance with these recommendations has </w:t>
      </w:r>
      <w:r w:rsidR="001B0B7A">
        <w:rPr>
          <w:rFonts w:cs="Arial"/>
        </w:rPr>
        <w:t>kept</w:t>
      </w:r>
      <w:r w:rsidR="00B917D3">
        <w:rPr>
          <w:rFonts w:cs="Arial"/>
        </w:rPr>
        <w:t xml:space="preserve"> </w:t>
      </w:r>
      <w:r w:rsidR="00117608" w:rsidRPr="00117608">
        <w:rPr>
          <w:rFonts w:cs="Arial"/>
        </w:rPr>
        <w:t xml:space="preserve">incidence low. </w:t>
      </w:r>
      <w:r w:rsidR="001339E3">
        <w:rPr>
          <w:rFonts w:cs="Arial"/>
        </w:rPr>
        <w:t>As a result</w:t>
      </w:r>
      <w:r w:rsidR="00E528FC" w:rsidRPr="00117608">
        <w:rPr>
          <w:rFonts w:cs="Arial"/>
        </w:rPr>
        <w:t xml:space="preserve">, Georgia has </w:t>
      </w:r>
      <w:r w:rsidR="00B917D3">
        <w:rPr>
          <w:rFonts w:cs="Arial"/>
        </w:rPr>
        <w:t xml:space="preserve">managed to achieve </w:t>
      </w:r>
      <w:r w:rsidR="00E528FC" w:rsidRPr="00117608">
        <w:rPr>
          <w:rFonts w:cs="Arial"/>
        </w:rPr>
        <w:t>one of the lowest case-mortality rates</w:t>
      </w:r>
      <w:r w:rsidR="00CA151F" w:rsidRPr="00117608">
        <w:rPr>
          <w:rFonts w:cs="Arial"/>
        </w:rPr>
        <w:t xml:space="preserve"> among </w:t>
      </w:r>
      <w:r w:rsidR="00A15DE3" w:rsidRPr="00A15DE3">
        <w:rPr>
          <w:rFonts w:cs="Arial"/>
        </w:rPr>
        <w:t>Organisation for Economic Co-operation and Development</w:t>
      </w:r>
      <w:r w:rsidR="00A15DE3">
        <w:rPr>
          <w:rFonts w:cs="Arial"/>
        </w:rPr>
        <w:t xml:space="preserve"> (</w:t>
      </w:r>
      <w:r w:rsidR="00CA151F" w:rsidRPr="00117608">
        <w:rPr>
          <w:rFonts w:cs="Arial"/>
        </w:rPr>
        <w:t>OECD</w:t>
      </w:r>
      <w:r w:rsidR="00A15DE3">
        <w:rPr>
          <w:rFonts w:cs="Arial"/>
        </w:rPr>
        <w:t>)</w:t>
      </w:r>
      <w:r w:rsidR="00CA151F" w:rsidRPr="00117608">
        <w:rPr>
          <w:rFonts w:cs="Arial"/>
        </w:rPr>
        <w:t xml:space="preserve"> countries.</w:t>
      </w:r>
    </w:p>
    <w:p w14:paraId="06AB5A29" w14:textId="77777777" w:rsidR="00526DDB" w:rsidRPr="00117608" w:rsidRDefault="00526DDB" w:rsidP="00117608">
      <w:pPr>
        <w:pStyle w:val="ListParagraph"/>
        <w:ind w:left="0"/>
        <w:jc w:val="both"/>
        <w:rPr>
          <w:rFonts w:cs="Arial"/>
          <w:color w:val="FF0000"/>
        </w:rPr>
      </w:pPr>
    </w:p>
    <w:p w14:paraId="0173F1A7" w14:textId="6A207D8A" w:rsidR="00526DDB" w:rsidRPr="00117608" w:rsidRDefault="00526DDB" w:rsidP="00E103AE">
      <w:pPr>
        <w:pStyle w:val="ListParagraph"/>
        <w:numPr>
          <w:ilvl w:val="0"/>
          <w:numId w:val="29"/>
        </w:numPr>
        <w:ind w:left="0" w:firstLine="0"/>
        <w:jc w:val="both"/>
        <w:rPr>
          <w:rFonts w:cs="Arial"/>
          <w:color w:val="FF0000"/>
        </w:rPr>
      </w:pPr>
      <w:r w:rsidRPr="007634F8">
        <w:rPr>
          <w:rFonts w:cs="Arial"/>
          <w:b/>
          <w:color w:val="000000" w:themeColor="text1"/>
        </w:rPr>
        <w:t xml:space="preserve">The COVID-19 pandemic </w:t>
      </w:r>
      <w:r w:rsidRPr="007634F8">
        <w:rPr>
          <w:rFonts w:cs="Arial"/>
          <w:b/>
          <w:bCs/>
          <w:color w:val="000000" w:themeColor="text1"/>
        </w:rPr>
        <w:t>ha</w:t>
      </w:r>
      <w:r w:rsidR="00FA4A84" w:rsidRPr="007634F8">
        <w:rPr>
          <w:rFonts w:cs="Arial"/>
          <w:b/>
          <w:bCs/>
          <w:color w:val="000000" w:themeColor="text1"/>
        </w:rPr>
        <w:t>s</w:t>
      </w:r>
      <w:r w:rsidRPr="007634F8">
        <w:rPr>
          <w:rFonts w:cs="Arial"/>
          <w:b/>
          <w:color w:val="000000" w:themeColor="text1"/>
        </w:rPr>
        <w:t xml:space="preserve"> </w:t>
      </w:r>
      <w:r w:rsidR="004B36CE">
        <w:rPr>
          <w:rFonts w:cs="Arial"/>
          <w:b/>
          <w:color w:val="000000" w:themeColor="text1"/>
        </w:rPr>
        <w:t xml:space="preserve">had </w:t>
      </w:r>
      <w:r w:rsidRPr="007634F8">
        <w:rPr>
          <w:rFonts w:cs="Arial"/>
          <w:b/>
          <w:color w:val="000000" w:themeColor="text1"/>
        </w:rPr>
        <w:t xml:space="preserve">a significant negative impact on </w:t>
      </w:r>
      <w:r w:rsidRPr="007634F8">
        <w:rPr>
          <w:rFonts w:cs="Arial"/>
          <w:b/>
          <w:bCs/>
          <w:color w:val="000000" w:themeColor="text1"/>
        </w:rPr>
        <w:t>Georgia</w:t>
      </w:r>
      <w:r w:rsidR="00FA4A84" w:rsidRPr="007634F8">
        <w:rPr>
          <w:rFonts w:cs="Arial"/>
          <w:b/>
          <w:bCs/>
          <w:color w:val="000000" w:themeColor="text1"/>
        </w:rPr>
        <w:t>’s</w:t>
      </w:r>
      <w:r w:rsidRPr="007634F8">
        <w:rPr>
          <w:rFonts w:cs="Arial"/>
          <w:b/>
          <w:color w:val="000000" w:themeColor="text1"/>
        </w:rPr>
        <w:t xml:space="preserve"> economy</w:t>
      </w:r>
      <w:r w:rsidR="009E22F1" w:rsidRPr="007634F8">
        <w:rPr>
          <w:rFonts w:cs="Arial"/>
          <w:b/>
          <w:color w:val="000000" w:themeColor="text1"/>
        </w:rPr>
        <w:t>.</w:t>
      </w:r>
      <w:r w:rsidR="00FB706D" w:rsidRPr="007634F8">
        <w:rPr>
          <w:rFonts w:cs="Arial"/>
          <w:b/>
          <w:color w:val="000000" w:themeColor="text1"/>
        </w:rPr>
        <w:t xml:space="preserve"> </w:t>
      </w:r>
      <w:r w:rsidR="000D4A4A" w:rsidRPr="00473F1A">
        <w:rPr>
          <w:rFonts w:cs="Arial"/>
          <w:color w:val="000000" w:themeColor="text1"/>
        </w:rPr>
        <w:t>While the drop in</w:t>
      </w:r>
      <w:r w:rsidR="00BD4A8B" w:rsidRPr="00473F1A">
        <w:rPr>
          <w:rFonts w:cs="Arial"/>
          <w:color w:val="000000" w:themeColor="text1"/>
        </w:rPr>
        <w:t xml:space="preserve"> </w:t>
      </w:r>
      <w:r w:rsidR="00CB5417" w:rsidRPr="00473F1A">
        <w:rPr>
          <w:rFonts w:cs="Arial"/>
          <w:color w:val="000000" w:themeColor="text1"/>
        </w:rPr>
        <w:t>remittances and exports</w:t>
      </w:r>
      <w:r w:rsidR="000D4A4A" w:rsidRPr="00473F1A">
        <w:rPr>
          <w:rFonts w:cs="Arial"/>
          <w:color w:val="000000" w:themeColor="text1"/>
        </w:rPr>
        <w:t xml:space="preserve"> was </w:t>
      </w:r>
      <w:r w:rsidR="00110F1C" w:rsidRPr="00473F1A">
        <w:rPr>
          <w:rFonts w:cs="Arial"/>
          <w:color w:val="000000" w:themeColor="text1"/>
        </w:rPr>
        <w:t>less severe</w:t>
      </w:r>
      <w:r w:rsidR="000D4A4A" w:rsidRPr="00473F1A">
        <w:rPr>
          <w:rFonts w:cs="Arial"/>
          <w:color w:val="000000" w:themeColor="text1"/>
        </w:rPr>
        <w:t xml:space="preserve"> than initially envisioned, it</w:t>
      </w:r>
      <w:r w:rsidR="00CB5417" w:rsidRPr="00473F1A">
        <w:rPr>
          <w:rFonts w:cs="Arial"/>
          <w:color w:val="000000" w:themeColor="text1"/>
        </w:rPr>
        <w:t xml:space="preserve"> </w:t>
      </w:r>
      <w:r w:rsidR="00BD4A8B" w:rsidRPr="00473F1A">
        <w:rPr>
          <w:rFonts w:cs="Arial"/>
          <w:color w:val="000000" w:themeColor="text1"/>
        </w:rPr>
        <w:t>did not offset the</w:t>
      </w:r>
      <w:r w:rsidR="41FC920A" w:rsidRPr="00473F1A">
        <w:rPr>
          <w:rFonts w:cs="Arial"/>
          <w:color w:val="000000" w:themeColor="text1"/>
        </w:rPr>
        <w:t xml:space="preserve"> </w:t>
      </w:r>
      <w:r w:rsidR="349033C8" w:rsidRPr="72E0110F">
        <w:rPr>
          <w:rFonts w:cs="Arial"/>
          <w:color w:val="000000" w:themeColor="text1"/>
        </w:rPr>
        <w:t>adverse</w:t>
      </w:r>
      <w:r w:rsidR="00BD4A8B" w:rsidRPr="00473F1A">
        <w:rPr>
          <w:rFonts w:cs="Arial"/>
          <w:color w:val="000000" w:themeColor="text1"/>
        </w:rPr>
        <w:t xml:space="preserve"> impact </w:t>
      </w:r>
      <w:r w:rsidR="006758C9">
        <w:rPr>
          <w:rFonts w:cs="Arial"/>
          <w:color w:val="000000" w:themeColor="text1"/>
        </w:rPr>
        <w:t>of a marked</w:t>
      </w:r>
      <w:r w:rsidR="00803CCC">
        <w:rPr>
          <w:rFonts w:cs="Arial"/>
          <w:color w:val="000000" w:themeColor="text1"/>
        </w:rPr>
        <w:t xml:space="preserve"> slowdown in</w:t>
      </w:r>
      <w:r w:rsidR="006758C9">
        <w:rPr>
          <w:rFonts w:cs="Arial"/>
          <w:color w:val="000000" w:themeColor="text1"/>
        </w:rPr>
        <w:t xml:space="preserve"> economic activity in</w:t>
      </w:r>
      <w:r w:rsidR="00BD4A8B" w:rsidRPr="00473F1A">
        <w:rPr>
          <w:rFonts w:cs="Arial"/>
          <w:color w:val="000000" w:themeColor="text1"/>
        </w:rPr>
        <w:t xml:space="preserve"> the tourism sector </w:t>
      </w:r>
      <w:r w:rsidR="00BD4A8B" w:rsidRPr="00473F1A">
        <w:rPr>
          <w:rFonts w:cs="Arial"/>
          <w:color w:val="000000" w:themeColor="text1"/>
        </w:rPr>
        <w:lastRenderedPageBreak/>
        <w:t xml:space="preserve">and </w:t>
      </w:r>
      <w:r w:rsidR="00BC5D38">
        <w:rPr>
          <w:rFonts w:cs="Arial"/>
          <w:color w:val="000000" w:themeColor="text1"/>
        </w:rPr>
        <w:t>foreign direct invest</w:t>
      </w:r>
      <w:r w:rsidR="000F728C">
        <w:rPr>
          <w:rFonts w:cs="Arial"/>
          <w:color w:val="000000" w:themeColor="text1"/>
        </w:rPr>
        <w:t>ment</w:t>
      </w:r>
      <w:r w:rsidR="00BD4A8B" w:rsidRPr="00473F1A">
        <w:rPr>
          <w:rFonts w:cs="Arial"/>
          <w:color w:val="000000" w:themeColor="text1"/>
        </w:rPr>
        <w:t>, leading to a</w:t>
      </w:r>
      <w:r w:rsidR="00E140F4">
        <w:rPr>
          <w:rFonts w:cs="Arial"/>
          <w:color w:val="000000" w:themeColor="text1"/>
        </w:rPr>
        <w:t xml:space="preserve"> </w:t>
      </w:r>
      <w:r w:rsidR="001D73E2" w:rsidRPr="00473F1A">
        <w:rPr>
          <w:rFonts w:cs="Arial"/>
          <w:color w:val="000000" w:themeColor="text1"/>
        </w:rPr>
        <w:t xml:space="preserve">downward </w:t>
      </w:r>
      <w:r w:rsidR="00BD4A8B" w:rsidRPr="00473F1A">
        <w:rPr>
          <w:rFonts w:cs="Arial"/>
          <w:color w:val="000000" w:themeColor="text1"/>
        </w:rPr>
        <w:t xml:space="preserve">revision in forecasts for </w:t>
      </w:r>
      <w:r w:rsidR="009B2845">
        <w:rPr>
          <w:rFonts w:cs="Arial"/>
          <w:color w:val="000000" w:themeColor="text1"/>
        </w:rPr>
        <w:t>gross domestic product (</w:t>
      </w:r>
      <w:r w:rsidR="00BD4A8B" w:rsidRPr="00473F1A">
        <w:rPr>
          <w:rFonts w:cs="Arial"/>
          <w:color w:val="000000" w:themeColor="text1"/>
        </w:rPr>
        <w:t>GDP</w:t>
      </w:r>
      <w:r w:rsidR="009B2845">
        <w:rPr>
          <w:rFonts w:cs="Arial"/>
          <w:color w:val="000000" w:themeColor="text1"/>
        </w:rPr>
        <w:t>)</w:t>
      </w:r>
      <w:r w:rsidR="001D73E2" w:rsidRPr="00473F1A">
        <w:rPr>
          <w:rFonts w:cs="Arial"/>
          <w:color w:val="000000" w:themeColor="text1"/>
        </w:rPr>
        <w:t xml:space="preserve"> </w:t>
      </w:r>
      <w:r w:rsidR="000B3C7B">
        <w:rPr>
          <w:rFonts w:cs="Arial"/>
          <w:color w:val="000000" w:themeColor="text1"/>
        </w:rPr>
        <w:t>growth to decelerate by 5.0%</w:t>
      </w:r>
      <w:r w:rsidR="001D73E2" w:rsidRPr="00473F1A">
        <w:rPr>
          <w:rFonts w:cs="Arial"/>
          <w:color w:val="000000" w:themeColor="text1"/>
        </w:rPr>
        <w:t xml:space="preserve"> in 2020</w:t>
      </w:r>
      <w:r w:rsidR="000D4A4A" w:rsidRPr="00117608">
        <w:rPr>
          <w:rFonts w:cs="Arial"/>
          <w:color w:val="000000" w:themeColor="text1"/>
        </w:rPr>
        <w:t>.</w:t>
      </w:r>
      <w:r w:rsidR="0070569F">
        <w:rPr>
          <w:rStyle w:val="FootnoteReference"/>
          <w:color w:val="000000" w:themeColor="text1"/>
        </w:rPr>
        <w:footnoteReference w:id="6"/>
      </w:r>
      <w:r w:rsidR="000D320A">
        <w:rPr>
          <w:rFonts w:cs="Arial"/>
          <w:color w:val="000000" w:themeColor="text1"/>
        </w:rPr>
        <w:t xml:space="preserve"> </w:t>
      </w:r>
      <w:r w:rsidR="00F87CFC" w:rsidRPr="00117608">
        <w:rPr>
          <w:rFonts w:cs="Arial"/>
          <w:color w:val="000000" w:themeColor="text1"/>
        </w:rPr>
        <w:t>These revised forecasts are based on recent data</w:t>
      </w:r>
      <w:r w:rsidR="008A140E" w:rsidRPr="00117608">
        <w:rPr>
          <w:rFonts w:cs="Arial"/>
          <w:color w:val="000000" w:themeColor="text1"/>
        </w:rPr>
        <w:t xml:space="preserve"> indicat</w:t>
      </w:r>
      <w:r w:rsidR="00991A90">
        <w:rPr>
          <w:rFonts w:cs="Arial"/>
          <w:color w:val="000000" w:themeColor="text1"/>
        </w:rPr>
        <w:t>ing</w:t>
      </w:r>
      <w:r w:rsidR="008A140E" w:rsidRPr="00117608">
        <w:rPr>
          <w:rFonts w:cs="Arial"/>
          <w:color w:val="000000" w:themeColor="text1"/>
        </w:rPr>
        <w:t xml:space="preserve"> a contraction of 12.6% in growth </w:t>
      </w:r>
      <w:r w:rsidR="005C0596">
        <w:rPr>
          <w:rFonts w:cs="Arial"/>
          <w:color w:val="000000" w:themeColor="text1"/>
        </w:rPr>
        <w:t>year-over-year (</w:t>
      </w:r>
      <w:r w:rsidR="008A140E" w:rsidRPr="00117608">
        <w:rPr>
          <w:rFonts w:cs="Arial"/>
          <w:color w:val="000000" w:themeColor="text1"/>
        </w:rPr>
        <w:t>y-o-y</w:t>
      </w:r>
      <w:r w:rsidR="005C0596">
        <w:rPr>
          <w:rFonts w:cs="Arial"/>
          <w:color w:val="000000" w:themeColor="text1"/>
        </w:rPr>
        <w:t>)</w:t>
      </w:r>
      <w:r w:rsidR="008A140E" w:rsidRPr="00117608">
        <w:rPr>
          <w:rFonts w:cs="Arial"/>
          <w:color w:val="000000" w:themeColor="text1"/>
        </w:rPr>
        <w:t xml:space="preserve"> for</w:t>
      </w:r>
      <w:r w:rsidR="007861F5" w:rsidRPr="00117608">
        <w:rPr>
          <w:rFonts w:cs="Arial"/>
          <w:color w:val="000000" w:themeColor="text1"/>
        </w:rPr>
        <w:t xml:space="preserve"> the second quarter of 2020 </w:t>
      </w:r>
      <w:r w:rsidR="00126902" w:rsidRPr="00117608">
        <w:rPr>
          <w:rFonts w:cs="Arial"/>
          <w:color w:val="000000" w:themeColor="text1"/>
        </w:rPr>
        <w:t>and a</w:t>
      </w:r>
      <w:r w:rsidR="008A140E" w:rsidRPr="00117608">
        <w:rPr>
          <w:rFonts w:cs="Arial"/>
          <w:color w:val="000000" w:themeColor="text1"/>
        </w:rPr>
        <w:t>n overall</w:t>
      </w:r>
      <w:r w:rsidR="00126902" w:rsidRPr="00117608">
        <w:rPr>
          <w:rFonts w:cs="Arial"/>
          <w:color w:val="000000" w:themeColor="text1"/>
        </w:rPr>
        <w:t xml:space="preserve"> 5.8% contraction for the first half of 2020. </w:t>
      </w:r>
      <w:r w:rsidRPr="00117608">
        <w:rPr>
          <w:rFonts w:cs="Arial"/>
          <w:color w:val="000000" w:themeColor="text1"/>
        </w:rPr>
        <w:t xml:space="preserve">In </w:t>
      </w:r>
      <w:r w:rsidR="00946180" w:rsidRPr="00117608">
        <w:rPr>
          <w:rFonts w:cs="Arial"/>
          <w:color w:val="000000" w:themeColor="text1"/>
        </w:rPr>
        <w:t>the second quarter of 2020</w:t>
      </w:r>
      <w:r w:rsidRPr="00117608">
        <w:rPr>
          <w:rFonts w:cs="Arial"/>
          <w:color w:val="000000" w:themeColor="text1"/>
        </w:rPr>
        <w:t>,</w:t>
      </w:r>
      <w:r w:rsidR="003F2799" w:rsidRPr="00473F1A">
        <w:t xml:space="preserve"> </w:t>
      </w:r>
      <w:r w:rsidR="003F2799" w:rsidRPr="00117608">
        <w:rPr>
          <w:rFonts w:cs="Arial"/>
          <w:color w:val="000000" w:themeColor="text1"/>
        </w:rPr>
        <w:t>tourism revenues reduced by $849</w:t>
      </w:r>
      <w:r w:rsidR="00D37889">
        <w:rPr>
          <w:rFonts w:cs="Arial"/>
          <w:color w:val="000000" w:themeColor="text1"/>
        </w:rPr>
        <w:t xml:space="preserve"> million</w:t>
      </w:r>
      <w:r w:rsidR="003F2799" w:rsidRPr="00117608">
        <w:rPr>
          <w:rFonts w:cs="Arial"/>
          <w:color w:val="000000" w:themeColor="text1"/>
        </w:rPr>
        <w:t xml:space="preserve"> y-o-y</w:t>
      </w:r>
      <w:r w:rsidR="00337320">
        <w:rPr>
          <w:rFonts w:cs="Arial"/>
          <w:color w:val="000000" w:themeColor="text1"/>
        </w:rPr>
        <w:t xml:space="preserve">. </w:t>
      </w:r>
      <w:r w:rsidR="00523AF5">
        <w:rPr>
          <w:rFonts w:cs="Arial"/>
          <w:color w:val="000000" w:themeColor="text1"/>
        </w:rPr>
        <w:t xml:space="preserve">The </w:t>
      </w:r>
      <w:r w:rsidR="00D2709C">
        <w:rPr>
          <w:rFonts w:cs="Arial"/>
          <w:color w:val="000000" w:themeColor="text1"/>
        </w:rPr>
        <w:t xml:space="preserve">impact of a </w:t>
      </w:r>
      <w:r w:rsidR="00523AF5">
        <w:rPr>
          <w:rFonts w:cs="Arial"/>
          <w:color w:val="000000" w:themeColor="text1"/>
        </w:rPr>
        <w:t xml:space="preserve">drop in tourism revenues </w:t>
      </w:r>
      <w:r w:rsidR="00D2709C">
        <w:rPr>
          <w:rFonts w:cs="Arial"/>
          <w:color w:val="000000" w:themeColor="text1"/>
        </w:rPr>
        <w:t xml:space="preserve">on </w:t>
      </w:r>
      <w:r w:rsidR="00B81D72">
        <w:rPr>
          <w:rFonts w:cs="Arial"/>
          <w:color w:val="000000" w:themeColor="text1"/>
        </w:rPr>
        <w:t xml:space="preserve">Georgia’s external balance </w:t>
      </w:r>
      <w:r w:rsidR="00523AF5">
        <w:rPr>
          <w:rFonts w:cs="Arial"/>
          <w:color w:val="000000" w:themeColor="text1"/>
        </w:rPr>
        <w:t>was partly offset by a reduced</w:t>
      </w:r>
      <w:r w:rsidR="00C10066" w:rsidRPr="00117608">
        <w:rPr>
          <w:rFonts w:cs="Arial"/>
          <w:color w:val="000000" w:themeColor="text1"/>
        </w:rPr>
        <w:t xml:space="preserve"> </w:t>
      </w:r>
      <w:r w:rsidR="003F2799" w:rsidRPr="00117608">
        <w:rPr>
          <w:rFonts w:cs="Arial"/>
          <w:color w:val="000000" w:themeColor="text1"/>
        </w:rPr>
        <w:t>trade balance</w:t>
      </w:r>
      <w:r w:rsidR="00337320">
        <w:rPr>
          <w:rFonts w:cs="Arial"/>
          <w:color w:val="000000" w:themeColor="text1"/>
        </w:rPr>
        <w:t xml:space="preserve"> </w:t>
      </w:r>
      <w:r w:rsidR="003F2799" w:rsidRPr="00117608">
        <w:rPr>
          <w:rFonts w:cs="Arial"/>
          <w:color w:val="000000" w:themeColor="text1"/>
        </w:rPr>
        <w:t>(-$497</w:t>
      </w:r>
      <w:r w:rsidR="00D37889">
        <w:rPr>
          <w:rFonts w:cs="Arial"/>
          <w:color w:val="000000" w:themeColor="text1"/>
        </w:rPr>
        <w:t xml:space="preserve"> million</w:t>
      </w:r>
      <w:r w:rsidR="003F2799" w:rsidRPr="00117608">
        <w:rPr>
          <w:rFonts w:cs="Arial"/>
          <w:color w:val="000000" w:themeColor="text1"/>
        </w:rPr>
        <w:t xml:space="preserve"> y-o-y)</w:t>
      </w:r>
      <w:r w:rsidR="00C10066" w:rsidRPr="00117608">
        <w:rPr>
          <w:rFonts w:cs="Arial"/>
          <w:color w:val="000000" w:themeColor="text1"/>
        </w:rPr>
        <w:t xml:space="preserve"> </w:t>
      </w:r>
      <w:r w:rsidR="003F2799" w:rsidRPr="00117608">
        <w:rPr>
          <w:rFonts w:cs="Arial"/>
          <w:color w:val="000000" w:themeColor="text1"/>
        </w:rPr>
        <w:t>as imports fell sharper than exports (down 31.8% y-o-y and 24.7% y-o-y, respectively)</w:t>
      </w:r>
      <w:r w:rsidR="00171EE1">
        <w:rPr>
          <w:rFonts w:cs="Arial"/>
          <w:color w:val="000000" w:themeColor="text1"/>
        </w:rPr>
        <w:t>.</w:t>
      </w:r>
      <w:r w:rsidR="0070569F" w:rsidRPr="0070569F">
        <w:rPr>
          <w:rStyle w:val="FootnoteReference"/>
          <w:color w:val="000000" w:themeColor="text1"/>
        </w:rPr>
        <w:t xml:space="preserve"> </w:t>
      </w:r>
      <w:r w:rsidR="0070569F">
        <w:rPr>
          <w:rStyle w:val="FootnoteReference"/>
          <w:color w:val="000000" w:themeColor="text1"/>
        </w:rPr>
        <w:footnoteReference w:id="7"/>
      </w:r>
      <w:r w:rsidR="0070569F">
        <w:rPr>
          <w:rFonts w:cs="Arial"/>
          <w:color w:val="000000" w:themeColor="text1"/>
        </w:rPr>
        <w:t xml:space="preserve"> </w:t>
      </w:r>
      <w:r w:rsidR="002371A7">
        <w:rPr>
          <w:rFonts w:cs="Arial"/>
          <w:color w:val="000000" w:themeColor="text1"/>
        </w:rPr>
        <w:t xml:space="preserve">Further, </w:t>
      </w:r>
      <w:r w:rsidR="00EF7441">
        <w:rPr>
          <w:rFonts w:cs="Arial"/>
          <w:color w:val="000000" w:themeColor="text1"/>
        </w:rPr>
        <w:t xml:space="preserve">incoming </w:t>
      </w:r>
      <w:r w:rsidRPr="00117608">
        <w:rPr>
          <w:rFonts w:cs="Arial"/>
          <w:color w:val="000000" w:themeColor="text1"/>
        </w:rPr>
        <w:t xml:space="preserve">remittances </w:t>
      </w:r>
      <w:r w:rsidR="00EF7441">
        <w:rPr>
          <w:rFonts w:cs="Arial"/>
          <w:color w:val="000000" w:themeColor="text1"/>
        </w:rPr>
        <w:t xml:space="preserve">rebounded </w:t>
      </w:r>
      <w:r w:rsidR="002371A7">
        <w:rPr>
          <w:rFonts w:cs="Arial"/>
          <w:color w:val="000000" w:themeColor="text1"/>
        </w:rPr>
        <w:t xml:space="preserve">in June 2020, </w:t>
      </w:r>
      <w:r w:rsidR="002371A7" w:rsidRPr="00117608">
        <w:rPr>
          <w:rFonts w:cs="Arial"/>
          <w:color w:val="000000" w:themeColor="text1"/>
        </w:rPr>
        <w:t>increasing by 17.8% y-o-y for that month</w:t>
      </w:r>
      <w:r w:rsidR="00EF7441">
        <w:rPr>
          <w:rFonts w:cs="Arial"/>
          <w:color w:val="000000" w:themeColor="text1"/>
        </w:rPr>
        <w:t>,</w:t>
      </w:r>
      <w:r w:rsidR="002371A7" w:rsidRPr="00117608">
        <w:rPr>
          <w:rFonts w:cs="Arial"/>
          <w:color w:val="000000" w:themeColor="text1"/>
        </w:rPr>
        <w:t xml:space="preserve"> </w:t>
      </w:r>
      <w:r w:rsidR="00EF7441">
        <w:rPr>
          <w:rFonts w:cs="Arial"/>
          <w:color w:val="000000" w:themeColor="text1"/>
        </w:rPr>
        <w:t>following a very</w:t>
      </w:r>
      <w:r w:rsidR="002371A7">
        <w:rPr>
          <w:rFonts w:cs="Arial"/>
          <w:color w:val="000000" w:themeColor="text1"/>
        </w:rPr>
        <w:t xml:space="preserve"> </w:t>
      </w:r>
      <w:r w:rsidR="007002C7">
        <w:rPr>
          <w:rFonts w:cs="Arial"/>
          <w:color w:val="000000" w:themeColor="text1"/>
        </w:rPr>
        <w:t>significant drop experience</w:t>
      </w:r>
      <w:r w:rsidR="00EF7441">
        <w:rPr>
          <w:rFonts w:cs="Arial"/>
          <w:color w:val="000000" w:themeColor="text1"/>
        </w:rPr>
        <w:t>d</w:t>
      </w:r>
      <w:r w:rsidR="007002C7">
        <w:rPr>
          <w:rFonts w:cs="Arial"/>
          <w:color w:val="000000" w:themeColor="text1"/>
        </w:rPr>
        <w:t xml:space="preserve"> in</w:t>
      </w:r>
      <w:r w:rsidRPr="00117608">
        <w:rPr>
          <w:rFonts w:cs="Arial"/>
          <w:color w:val="000000" w:themeColor="text1"/>
        </w:rPr>
        <w:t xml:space="preserve"> April due to economic lockdown</w:t>
      </w:r>
      <w:r w:rsidR="00684C30">
        <w:rPr>
          <w:rFonts w:cs="Arial"/>
          <w:color w:val="000000" w:themeColor="text1"/>
        </w:rPr>
        <w:t>s</w:t>
      </w:r>
      <w:r w:rsidRPr="00117608">
        <w:rPr>
          <w:rFonts w:cs="Arial"/>
          <w:color w:val="000000" w:themeColor="text1"/>
        </w:rPr>
        <w:t xml:space="preserve"> globally. After the GEL hit a record low level in </w:t>
      </w:r>
      <w:r w:rsidR="00F67579" w:rsidRPr="00117608">
        <w:rPr>
          <w:rFonts w:cs="Arial"/>
          <w:color w:val="000000" w:themeColor="text1"/>
        </w:rPr>
        <w:t>March 20</w:t>
      </w:r>
      <w:r w:rsidRPr="00117608">
        <w:rPr>
          <w:rFonts w:cs="Arial"/>
          <w:color w:val="000000" w:themeColor="text1"/>
        </w:rPr>
        <w:t xml:space="preserve">20, it appreciated by 6.9% </w:t>
      </w:r>
      <w:r w:rsidR="00ED0B4D">
        <w:rPr>
          <w:rFonts w:cs="Arial"/>
          <w:color w:val="000000" w:themeColor="text1"/>
        </w:rPr>
        <w:t>quarter on quarter</w:t>
      </w:r>
      <w:r w:rsidRPr="00117608">
        <w:rPr>
          <w:rFonts w:cs="Arial"/>
          <w:color w:val="000000" w:themeColor="text1"/>
        </w:rPr>
        <w:t xml:space="preserve"> against the US</w:t>
      </w:r>
      <w:r w:rsidR="004D1F35">
        <w:rPr>
          <w:rFonts w:cs="Arial"/>
          <w:color w:val="000000" w:themeColor="text1"/>
        </w:rPr>
        <w:t xml:space="preserve"> </w:t>
      </w:r>
      <w:r w:rsidR="00F67579" w:rsidRPr="00117608">
        <w:rPr>
          <w:rFonts w:cs="Arial"/>
          <w:color w:val="000000" w:themeColor="text1"/>
        </w:rPr>
        <w:t>D</w:t>
      </w:r>
      <w:r w:rsidR="001B7CB8">
        <w:rPr>
          <w:rFonts w:cs="Arial"/>
          <w:color w:val="000000" w:themeColor="text1"/>
        </w:rPr>
        <w:t>ollar</w:t>
      </w:r>
      <w:r w:rsidR="00BE11A4">
        <w:rPr>
          <w:rFonts w:cs="Arial"/>
          <w:color w:val="000000" w:themeColor="text1"/>
        </w:rPr>
        <w:t xml:space="preserve"> (USD)</w:t>
      </w:r>
      <w:r w:rsidRPr="00117608">
        <w:rPr>
          <w:rFonts w:cs="Arial"/>
          <w:color w:val="000000" w:themeColor="text1"/>
        </w:rPr>
        <w:t xml:space="preserve">, </w:t>
      </w:r>
      <w:r w:rsidR="000C5C57" w:rsidRPr="00117608">
        <w:rPr>
          <w:rFonts w:cs="Arial"/>
          <w:color w:val="000000" w:themeColor="text1"/>
        </w:rPr>
        <w:t>reflecting adequate monetary policy response</w:t>
      </w:r>
      <w:r w:rsidR="0081510E">
        <w:rPr>
          <w:rFonts w:cs="Arial"/>
          <w:color w:val="000000" w:themeColor="text1"/>
        </w:rPr>
        <w:t>s</w:t>
      </w:r>
      <w:r w:rsidR="000C5C57" w:rsidRPr="00117608">
        <w:rPr>
          <w:rFonts w:cs="Arial"/>
          <w:color w:val="000000" w:themeColor="text1"/>
        </w:rPr>
        <w:t xml:space="preserve"> by the </w:t>
      </w:r>
      <w:r w:rsidR="00A705AC">
        <w:rPr>
          <w:rFonts w:cs="Arial"/>
          <w:color w:val="000000" w:themeColor="text1"/>
        </w:rPr>
        <w:t>National Bank of Georgia (</w:t>
      </w:r>
      <w:r w:rsidR="000C5C57" w:rsidRPr="00117608">
        <w:rPr>
          <w:rFonts w:cs="Arial"/>
          <w:color w:val="000000" w:themeColor="text1"/>
        </w:rPr>
        <w:t>NBG</w:t>
      </w:r>
      <w:r w:rsidR="00A705AC">
        <w:rPr>
          <w:rFonts w:cs="Arial"/>
          <w:color w:val="000000" w:themeColor="text1"/>
        </w:rPr>
        <w:t>)</w:t>
      </w:r>
      <w:r w:rsidR="000C5C57" w:rsidRPr="00117608">
        <w:rPr>
          <w:rFonts w:cs="Arial"/>
          <w:color w:val="000000" w:themeColor="text1"/>
        </w:rPr>
        <w:t xml:space="preserve">, </w:t>
      </w:r>
      <w:r w:rsidR="00F671E6" w:rsidRPr="00117608">
        <w:rPr>
          <w:rFonts w:cs="Arial"/>
          <w:color w:val="000000" w:themeColor="text1"/>
        </w:rPr>
        <w:t>as well as</w:t>
      </w:r>
      <w:r w:rsidRPr="00117608">
        <w:rPr>
          <w:rFonts w:cs="Arial"/>
          <w:color w:val="000000" w:themeColor="text1"/>
        </w:rPr>
        <w:t xml:space="preserve"> external funding support and </w:t>
      </w:r>
      <w:r w:rsidR="0081510E">
        <w:rPr>
          <w:rFonts w:cs="Arial"/>
          <w:color w:val="000000" w:themeColor="text1"/>
        </w:rPr>
        <w:t xml:space="preserve">resilient </w:t>
      </w:r>
      <w:r w:rsidRPr="00117608">
        <w:rPr>
          <w:rFonts w:cs="Arial"/>
          <w:color w:val="000000" w:themeColor="text1"/>
        </w:rPr>
        <w:t>remittances. Annual inflation in Jun</w:t>
      </w:r>
      <w:r w:rsidR="00F671E6" w:rsidRPr="00117608">
        <w:rPr>
          <w:rFonts w:cs="Arial"/>
          <w:color w:val="000000" w:themeColor="text1"/>
        </w:rPr>
        <w:t>e 20</w:t>
      </w:r>
      <w:r w:rsidRPr="00117608">
        <w:rPr>
          <w:rFonts w:cs="Arial"/>
          <w:color w:val="000000" w:themeColor="text1"/>
        </w:rPr>
        <w:t xml:space="preserve">20 was 6.1%, </w:t>
      </w:r>
      <w:r w:rsidR="0081510E">
        <w:rPr>
          <w:rFonts w:cs="Arial"/>
          <w:color w:val="000000" w:themeColor="text1"/>
        </w:rPr>
        <w:t xml:space="preserve">driven by food price </w:t>
      </w:r>
      <w:r w:rsidR="000F79BC">
        <w:rPr>
          <w:rFonts w:cs="Arial"/>
          <w:color w:val="000000" w:themeColor="text1"/>
        </w:rPr>
        <w:t>increases,</w:t>
      </w:r>
      <w:r w:rsidRPr="00117608">
        <w:rPr>
          <w:rFonts w:cs="Arial"/>
          <w:color w:val="000000" w:themeColor="text1"/>
        </w:rPr>
        <w:t xml:space="preserve"> due to disruption to supply chains and strengthened influence of </w:t>
      </w:r>
      <w:r w:rsidR="00BC23A5">
        <w:rPr>
          <w:rFonts w:cs="Arial"/>
          <w:color w:val="000000" w:themeColor="text1"/>
        </w:rPr>
        <w:t>foreign exchange</w:t>
      </w:r>
      <w:r w:rsidR="00BC23A5" w:rsidRPr="00117608">
        <w:rPr>
          <w:rFonts w:cs="Arial"/>
          <w:color w:val="000000" w:themeColor="text1"/>
        </w:rPr>
        <w:t xml:space="preserve"> </w:t>
      </w:r>
      <w:r w:rsidRPr="00117608">
        <w:rPr>
          <w:rFonts w:cs="Arial"/>
          <w:color w:val="000000" w:themeColor="text1"/>
        </w:rPr>
        <w:t>pass-through.</w:t>
      </w:r>
      <w:r w:rsidR="00E95731">
        <w:rPr>
          <w:rStyle w:val="FootnoteReference"/>
          <w:color w:val="000000" w:themeColor="text1"/>
        </w:rPr>
        <w:footnoteReference w:id="8"/>
      </w:r>
    </w:p>
    <w:p w14:paraId="1B0522E3" w14:textId="77777777" w:rsidR="00434C7A" w:rsidRPr="00117608" w:rsidRDefault="00434C7A" w:rsidP="00117608">
      <w:pPr>
        <w:pStyle w:val="ListParagraph"/>
        <w:ind w:left="0"/>
        <w:jc w:val="both"/>
        <w:rPr>
          <w:rFonts w:cs="Arial"/>
          <w:color w:val="FF0000"/>
        </w:rPr>
      </w:pPr>
    </w:p>
    <w:p w14:paraId="51C5B386" w14:textId="7CE209B2" w:rsidR="006152B1" w:rsidRPr="00B9741F" w:rsidRDefault="00434C7A" w:rsidP="00117608">
      <w:pPr>
        <w:pStyle w:val="ListParagraph"/>
        <w:numPr>
          <w:ilvl w:val="0"/>
          <w:numId w:val="29"/>
        </w:numPr>
        <w:ind w:left="0" w:firstLine="0"/>
        <w:jc w:val="both"/>
        <w:rPr>
          <w:rFonts w:cs="Arial"/>
          <w:color w:val="FF0000"/>
        </w:rPr>
      </w:pPr>
      <w:r w:rsidRPr="00473F1A">
        <w:rPr>
          <w:rFonts w:cs="Arial"/>
          <w:b/>
          <w:bCs/>
          <w:color w:val="000000" w:themeColor="text1"/>
        </w:rPr>
        <w:t>Impact of COVID-19 on public finances</w:t>
      </w:r>
      <w:r w:rsidR="007A49E6" w:rsidRPr="00473F1A">
        <w:rPr>
          <w:rFonts w:cs="Arial"/>
          <w:b/>
          <w:bCs/>
          <w:color w:val="000000" w:themeColor="text1"/>
        </w:rPr>
        <w:t xml:space="preserve"> </w:t>
      </w:r>
      <w:r w:rsidR="00B362C8" w:rsidRPr="00473F1A">
        <w:rPr>
          <w:rFonts w:cs="Arial"/>
          <w:b/>
          <w:bCs/>
          <w:color w:val="000000" w:themeColor="text1"/>
        </w:rPr>
        <w:t xml:space="preserve">is </w:t>
      </w:r>
      <w:r w:rsidR="002A2709" w:rsidRPr="00473F1A">
        <w:rPr>
          <w:rFonts w:cs="Arial"/>
          <w:b/>
          <w:bCs/>
          <w:color w:val="000000" w:themeColor="text1"/>
        </w:rPr>
        <w:t xml:space="preserve">more severe than </w:t>
      </w:r>
      <w:r w:rsidR="009D4E93">
        <w:rPr>
          <w:rFonts w:cs="Arial"/>
          <w:b/>
          <w:bCs/>
          <w:color w:val="000000" w:themeColor="text1"/>
        </w:rPr>
        <w:t>expected</w:t>
      </w:r>
      <w:r w:rsidR="00AA3929" w:rsidRPr="00473F1A">
        <w:rPr>
          <w:rFonts w:cs="Arial"/>
          <w:color w:val="000000" w:themeColor="text1"/>
        </w:rPr>
        <w:t>.</w:t>
      </w:r>
      <w:r w:rsidR="00B362C8" w:rsidRPr="00473F1A">
        <w:rPr>
          <w:rFonts w:cs="Arial"/>
          <w:color w:val="000000" w:themeColor="text1"/>
        </w:rPr>
        <w:t xml:space="preserve"> </w:t>
      </w:r>
      <w:r w:rsidR="003F1F57" w:rsidRPr="00473F1A">
        <w:rPr>
          <w:rFonts w:cs="Arial"/>
          <w:color w:val="000000" w:themeColor="text1"/>
        </w:rPr>
        <w:t xml:space="preserve">The COVID-19 pandemic </w:t>
      </w:r>
      <w:r w:rsidR="002A2709" w:rsidRPr="00473F1A">
        <w:rPr>
          <w:rFonts w:cs="Arial"/>
          <w:color w:val="000000" w:themeColor="text1"/>
        </w:rPr>
        <w:t xml:space="preserve">significantly weakened </w:t>
      </w:r>
      <w:r w:rsidR="0090043A">
        <w:rPr>
          <w:rFonts w:cs="Arial"/>
          <w:color w:val="000000" w:themeColor="text1"/>
        </w:rPr>
        <w:t>Georgia’s</w:t>
      </w:r>
      <w:r w:rsidR="002A2709" w:rsidRPr="00473F1A">
        <w:rPr>
          <w:rFonts w:cs="Arial"/>
          <w:color w:val="000000" w:themeColor="text1"/>
        </w:rPr>
        <w:t xml:space="preserve"> fiscal position</w:t>
      </w:r>
      <w:r w:rsidR="00D62417" w:rsidRPr="00473F1A">
        <w:rPr>
          <w:rFonts w:cs="Arial"/>
          <w:color w:val="000000" w:themeColor="text1"/>
        </w:rPr>
        <w:t>.</w:t>
      </w:r>
      <w:r w:rsidR="004B11B3">
        <w:rPr>
          <w:rStyle w:val="FootnoteReference"/>
          <w:color w:val="000000" w:themeColor="text1"/>
        </w:rPr>
        <w:footnoteReference w:id="9"/>
      </w:r>
      <w:r w:rsidR="00D62417" w:rsidRPr="00473F1A">
        <w:rPr>
          <w:rFonts w:cs="Arial"/>
          <w:color w:val="000000" w:themeColor="text1"/>
        </w:rPr>
        <w:t xml:space="preserve"> Revenue and grants are expected to decline by 10.5%</w:t>
      </w:r>
      <w:r w:rsidR="00FB066C">
        <w:rPr>
          <w:rFonts w:cs="Arial"/>
          <w:color w:val="000000" w:themeColor="text1"/>
        </w:rPr>
        <w:t xml:space="preserve"> in the revised budget</w:t>
      </w:r>
      <w:r w:rsidR="00D62417" w:rsidRPr="00473F1A">
        <w:rPr>
          <w:rFonts w:cs="Arial"/>
          <w:color w:val="000000" w:themeColor="text1"/>
        </w:rPr>
        <w:t xml:space="preserve"> compared </w:t>
      </w:r>
      <w:r w:rsidR="00B07DFB">
        <w:rPr>
          <w:rFonts w:cs="Arial"/>
          <w:color w:val="000000" w:themeColor="text1"/>
        </w:rPr>
        <w:t>to</w:t>
      </w:r>
      <w:r w:rsidR="00D62417" w:rsidRPr="00473F1A">
        <w:rPr>
          <w:rFonts w:cs="Arial"/>
          <w:color w:val="000000" w:themeColor="text1"/>
        </w:rPr>
        <w:t xml:space="preserve"> the original budget</w:t>
      </w:r>
      <w:r w:rsidR="00FB066C">
        <w:rPr>
          <w:rFonts w:cs="Arial"/>
          <w:color w:val="000000" w:themeColor="text1"/>
        </w:rPr>
        <w:t xml:space="preserve"> for 2020</w:t>
      </w:r>
      <w:r w:rsidR="002535CD" w:rsidRPr="00473F1A">
        <w:rPr>
          <w:rFonts w:cs="Arial"/>
          <w:color w:val="000000" w:themeColor="text1"/>
        </w:rPr>
        <w:t xml:space="preserve">, led by a 12.1% </w:t>
      </w:r>
      <w:r w:rsidR="00354A4D">
        <w:rPr>
          <w:rFonts w:cs="Arial"/>
          <w:color w:val="000000" w:themeColor="text1"/>
        </w:rPr>
        <w:t>d</w:t>
      </w:r>
      <w:r w:rsidR="002535CD" w:rsidRPr="00473F1A">
        <w:rPr>
          <w:rFonts w:cs="Arial"/>
          <w:color w:val="000000" w:themeColor="text1"/>
        </w:rPr>
        <w:t xml:space="preserve">rop in tax </w:t>
      </w:r>
      <w:r w:rsidR="006E6BBB">
        <w:rPr>
          <w:rFonts w:cs="Arial"/>
          <w:color w:val="000000" w:themeColor="text1"/>
        </w:rPr>
        <w:t>revenues</w:t>
      </w:r>
      <w:r w:rsidR="00AB640B">
        <w:rPr>
          <w:rFonts w:cs="Arial"/>
          <w:color w:val="000000" w:themeColor="text1"/>
        </w:rPr>
        <w:t>, while expenditure is expected to increase by 10.2%</w:t>
      </w:r>
      <w:r w:rsidR="002535CD" w:rsidRPr="00473F1A">
        <w:rPr>
          <w:rFonts w:cs="Arial"/>
          <w:color w:val="000000" w:themeColor="text1"/>
        </w:rPr>
        <w:t>.</w:t>
      </w:r>
      <w:r w:rsidR="007B55DC">
        <w:rPr>
          <w:rStyle w:val="FootnoteReference"/>
          <w:color w:val="000000" w:themeColor="text1"/>
        </w:rPr>
        <w:footnoteReference w:id="10"/>
      </w:r>
      <w:r w:rsidR="002535CD" w:rsidRPr="00473F1A">
        <w:rPr>
          <w:rFonts w:cs="Arial"/>
          <w:color w:val="000000" w:themeColor="text1"/>
        </w:rPr>
        <w:t xml:space="preserve"> </w:t>
      </w:r>
      <w:r w:rsidR="00834323">
        <w:rPr>
          <w:rFonts w:cs="Arial"/>
          <w:color w:val="000000" w:themeColor="text1"/>
        </w:rPr>
        <w:t xml:space="preserve">In order to </w:t>
      </w:r>
      <w:r w:rsidR="00CF73A8">
        <w:rPr>
          <w:rFonts w:cs="Arial"/>
          <w:color w:val="000000" w:themeColor="text1"/>
        </w:rPr>
        <w:t xml:space="preserve">accommodate </w:t>
      </w:r>
      <w:r w:rsidR="00055547">
        <w:rPr>
          <w:rFonts w:cs="Arial"/>
          <w:color w:val="000000" w:themeColor="text1"/>
        </w:rPr>
        <w:t>for the significant increase in public expenditure needed to finance</w:t>
      </w:r>
      <w:r w:rsidR="00834323">
        <w:rPr>
          <w:rFonts w:cs="Arial"/>
          <w:color w:val="000000" w:themeColor="text1"/>
        </w:rPr>
        <w:t xml:space="preserve"> the</w:t>
      </w:r>
      <w:r w:rsidR="00846214">
        <w:rPr>
          <w:rFonts w:cs="Arial"/>
          <w:color w:val="000000" w:themeColor="text1"/>
        </w:rPr>
        <w:t xml:space="preserve"> </w:t>
      </w:r>
      <w:r w:rsidR="002535CD" w:rsidRPr="00473F1A">
        <w:rPr>
          <w:rFonts w:cs="Arial"/>
          <w:color w:val="000000" w:themeColor="text1"/>
        </w:rPr>
        <w:t>Anti</w:t>
      </w:r>
      <w:r w:rsidR="00F57227">
        <w:rPr>
          <w:rFonts w:cs="Arial"/>
          <w:color w:val="000000" w:themeColor="text1"/>
        </w:rPr>
        <w:t>-</w:t>
      </w:r>
      <w:r w:rsidR="002535CD" w:rsidRPr="00473F1A">
        <w:rPr>
          <w:rFonts w:cs="Arial"/>
          <w:color w:val="000000" w:themeColor="text1"/>
        </w:rPr>
        <w:t>Crisis Plan,</w:t>
      </w:r>
      <w:r w:rsidR="00055547">
        <w:rPr>
          <w:rFonts w:cs="Arial"/>
          <w:color w:val="000000" w:themeColor="text1"/>
        </w:rPr>
        <w:t xml:space="preserve"> authorities actively sought to create fiscal space under the revised budget 202</w:t>
      </w:r>
      <w:r w:rsidR="00AB640B">
        <w:rPr>
          <w:rFonts w:cs="Arial"/>
          <w:color w:val="000000" w:themeColor="text1"/>
        </w:rPr>
        <w:t>0.</w:t>
      </w:r>
      <w:r w:rsidR="003E74F1">
        <w:rPr>
          <w:rStyle w:val="FootnoteReference"/>
          <w:color w:val="000000" w:themeColor="text1"/>
        </w:rPr>
        <w:footnoteReference w:id="11"/>
      </w:r>
      <w:r w:rsidR="00D41C8D">
        <w:rPr>
          <w:rFonts w:cs="Arial"/>
          <w:color w:val="000000" w:themeColor="text1"/>
        </w:rPr>
        <w:t xml:space="preserve"> </w:t>
      </w:r>
      <w:r w:rsidR="00AB640B">
        <w:rPr>
          <w:rFonts w:cs="Arial"/>
          <w:color w:val="000000" w:themeColor="text1"/>
        </w:rPr>
        <w:t xml:space="preserve"> </w:t>
      </w:r>
      <w:r w:rsidR="00AB4B36" w:rsidRPr="00AB4B36">
        <w:rPr>
          <w:rFonts w:cs="Arial"/>
          <w:color w:val="000000" w:themeColor="text1"/>
        </w:rPr>
        <w:t>Recurrent expenditure on wages and salaries and on goods and services have been lowered by 2.7% and 1.6%</w:t>
      </w:r>
      <w:r w:rsidR="00020AA6">
        <w:rPr>
          <w:rFonts w:cs="Arial"/>
          <w:color w:val="000000" w:themeColor="text1"/>
        </w:rPr>
        <w:t xml:space="preserve"> </w:t>
      </w:r>
      <w:r w:rsidR="00AB4B36" w:rsidRPr="00AB4B36">
        <w:rPr>
          <w:rFonts w:cs="Arial"/>
          <w:color w:val="000000" w:themeColor="text1"/>
        </w:rPr>
        <w:t>respectively</w:t>
      </w:r>
      <w:r w:rsidR="00020AA6">
        <w:rPr>
          <w:rFonts w:cs="Arial"/>
          <w:color w:val="000000" w:themeColor="text1"/>
        </w:rPr>
        <w:t xml:space="preserve">, compared to the original 2020 </w:t>
      </w:r>
      <w:r w:rsidR="0007298B">
        <w:rPr>
          <w:rFonts w:cs="Arial"/>
          <w:color w:val="000000" w:themeColor="text1"/>
        </w:rPr>
        <w:t xml:space="preserve">State </w:t>
      </w:r>
      <w:r w:rsidR="00020AA6">
        <w:rPr>
          <w:rFonts w:cs="Arial"/>
          <w:color w:val="000000" w:themeColor="text1"/>
        </w:rPr>
        <w:t>Budget</w:t>
      </w:r>
      <w:r w:rsidR="00AB4B36" w:rsidRPr="00AB4B36">
        <w:rPr>
          <w:rFonts w:cs="Arial"/>
          <w:color w:val="000000" w:themeColor="text1"/>
        </w:rPr>
        <w:t>.</w:t>
      </w:r>
      <w:r w:rsidR="00AB4B36">
        <w:rPr>
          <w:rFonts w:cs="Arial"/>
          <w:color w:val="000000" w:themeColor="text1"/>
        </w:rPr>
        <w:t xml:space="preserve"> </w:t>
      </w:r>
      <w:r w:rsidR="00DC2807">
        <w:rPr>
          <w:rFonts w:cs="Arial"/>
          <w:color w:val="000000" w:themeColor="text1"/>
        </w:rPr>
        <w:t>But d</w:t>
      </w:r>
      <w:r w:rsidR="00A52669" w:rsidRPr="00473F1A">
        <w:rPr>
          <w:rFonts w:cs="Arial"/>
          <w:color w:val="000000" w:themeColor="text1"/>
        </w:rPr>
        <w:t xml:space="preserve">espite these efforts, </w:t>
      </w:r>
      <w:r w:rsidR="00334798" w:rsidRPr="00473F1A">
        <w:rPr>
          <w:rFonts w:cs="Arial"/>
          <w:color w:val="000000" w:themeColor="text1"/>
        </w:rPr>
        <w:t>the financing gap for 2020 widened to $1</w:t>
      </w:r>
      <w:r w:rsidR="00E73FBF">
        <w:rPr>
          <w:rFonts w:cs="Arial"/>
          <w:color w:val="000000" w:themeColor="text1"/>
        </w:rPr>
        <w:t>.</w:t>
      </w:r>
      <w:r w:rsidR="00334798" w:rsidRPr="00473F1A">
        <w:rPr>
          <w:rFonts w:cs="Arial"/>
          <w:color w:val="000000" w:themeColor="text1"/>
        </w:rPr>
        <w:t xml:space="preserve">6 </w:t>
      </w:r>
      <w:r w:rsidR="006D1201">
        <w:rPr>
          <w:rFonts w:cs="Arial"/>
          <w:color w:val="000000" w:themeColor="text1"/>
        </w:rPr>
        <w:t>b</w:t>
      </w:r>
      <w:r w:rsidR="00334798" w:rsidRPr="00473F1A">
        <w:rPr>
          <w:rFonts w:cs="Arial"/>
          <w:color w:val="000000" w:themeColor="text1"/>
        </w:rPr>
        <w:t>illion</w:t>
      </w:r>
      <w:r w:rsidR="00E73FBF">
        <w:rPr>
          <w:rFonts w:cs="Arial"/>
          <w:color w:val="000000" w:themeColor="text1"/>
        </w:rPr>
        <w:t>,</w:t>
      </w:r>
      <w:r w:rsidR="006A6AF4" w:rsidRPr="00473F1A">
        <w:rPr>
          <w:rFonts w:cs="Arial"/>
          <w:color w:val="000000" w:themeColor="text1"/>
        </w:rPr>
        <w:t xml:space="preserve"> compared </w:t>
      </w:r>
      <w:r w:rsidR="00BC7C0F">
        <w:rPr>
          <w:rFonts w:cs="Arial"/>
          <w:color w:val="000000" w:themeColor="text1"/>
        </w:rPr>
        <w:t>to $1.5 billion estimated in May 2020</w:t>
      </w:r>
      <w:r w:rsidR="00A56FDA">
        <w:rPr>
          <w:rFonts w:cs="Arial"/>
          <w:color w:val="000000" w:themeColor="text1"/>
        </w:rPr>
        <w:t xml:space="preserve"> (</w:t>
      </w:r>
      <w:r w:rsidR="00D618DC">
        <w:rPr>
          <w:rFonts w:cs="Arial"/>
          <w:color w:val="000000" w:themeColor="text1"/>
        </w:rPr>
        <w:t>footnote 8)</w:t>
      </w:r>
      <w:r w:rsidR="00BC7C0F">
        <w:rPr>
          <w:rFonts w:cs="Arial"/>
          <w:color w:val="000000" w:themeColor="text1"/>
        </w:rPr>
        <w:t>.</w:t>
      </w:r>
      <w:r w:rsidR="006A6AF4" w:rsidRPr="00473F1A">
        <w:rPr>
          <w:rFonts w:cs="Arial"/>
          <w:color w:val="000000" w:themeColor="text1"/>
        </w:rPr>
        <w:t xml:space="preserve"> </w:t>
      </w:r>
      <w:r w:rsidR="00BE2448" w:rsidRPr="00473F1A">
        <w:rPr>
          <w:rFonts w:cs="Arial"/>
          <w:color w:val="000000" w:themeColor="text1"/>
        </w:rPr>
        <w:t xml:space="preserve">To </w:t>
      </w:r>
      <w:r w:rsidR="00572FC0" w:rsidRPr="00473F1A">
        <w:rPr>
          <w:rFonts w:cs="Arial"/>
          <w:color w:val="000000" w:themeColor="text1"/>
        </w:rPr>
        <w:t>bridge this financing gap</w:t>
      </w:r>
      <w:r w:rsidR="00EE0E13">
        <w:rPr>
          <w:rFonts w:cs="Arial"/>
          <w:color w:val="000000" w:themeColor="text1"/>
        </w:rPr>
        <w:t>,</w:t>
      </w:r>
      <w:r w:rsidR="00BE2448" w:rsidRPr="00473F1A">
        <w:rPr>
          <w:rFonts w:cs="Arial"/>
          <w:color w:val="000000" w:themeColor="text1"/>
        </w:rPr>
        <w:t xml:space="preserve"> external borrowing is expected to increase by </w:t>
      </w:r>
      <w:r w:rsidR="0049707A">
        <w:rPr>
          <w:rFonts w:cs="Arial"/>
          <w:color w:val="000000" w:themeColor="text1"/>
        </w:rPr>
        <w:t xml:space="preserve">an </w:t>
      </w:r>
      <w:r w:rsidR="00BE2448" w:rsidRPr="00473F1A">
        <w:rPr>
          <w:rFonts w:cs="Arial"/>
          <w:color w:val="000000" w:themeColor="text1"/>
        </w:rPr>
        <w:t>additional GEL</w:t>
      </w:r>
      <w:r w:rsidR="004B17DF">
        <w:rPr>
          <w:rFonts w:cs="Arial"/>
          <w:color w:val="000000" w:themeColor="text1"/>
        </w:rPr>
        <w:t>4.3</w:t>
      </w:r>
      <w:r w:rsidR="004D047D">
        <w:rPr>
          <w:rFonts w:cs="Arial"/>
          <w:color w:val="000000" w:themeColor="text1"/>
        </w:rPr>
        <w:t xml:space="preserve"> </w:t>
      </w:r>
      <w:r w:rsidR="00BE2448" w:rsidRPr="00473F1A">
        <w:rPr>
          <w:rFonts w:cs="Arial"/>
          <w:color w:val="000000" w:themeColor="text1"/>
        </w:rPr>
        <w:t>b</w:t>
      </w:r>
      <w:r w:rsidR="004D047D">
        <w:rPr>
          <w:rFonts w:cs="Arial"/>
          <w:color w:val="000000" w:themeColor="text1"/>
        </w:rPr>
        <w:t>illio</w:t>
      </w:r>
      <w:r w:rsidR="00BE2448" w:rsidRPr="00473F1A">
        <w:rPr>
          <w:rFonts w:cs="Arial"/>
          <w:color w:val="000000" w:themeColor="text1"/>
        </w:rPr>
        <w:t>n, and domestic debt is set to rise by GEL649</w:t>
      </w:r>
      <w:r w:rsidR="00774FD4">
        <w:rPr>
          <w:rFonts w:cs="Arial"/>
          <w:color w:val="000000" w:themeColor="text1"/>
        </w:rPr>
        <w:t xml:space="preserve"> million</w:t>
      </w:r>
      <w:r w:rsidR="00BE2448" w:rsidRPr="00473F1A">
        <w:rPr>
          <w:rFonts w:cs="Arial"/>
          <w:color w:val="000000" w:themeColor="text1"/>
        </w:rPr>
        <w:t xml:space="preserve">. </w:t>
      </w:r>
      <w:r w:rsidR="00702BA1" w:rsidRPr="004D1D9D">
        <w:rPr>
          <w:rFonts w:cs="Arial"/>
          <w:color w:val="000000" w:themeColor="text1"/>
        </w:rPr>
        <w:t>Despite GEL’s continued depreciation during 2014</w:t>
      </w:r>
      <w:r w:rsidR="00F4295D">
        <w:rPr>
          <w:rFonts w:cs="Arial"/>
          <w:color w:val="000000" w:themeColor="text1"/>
        </w:rPr>
        <w:t>–</w:t>
      </w:r>
      <w:r w:rsidR="00702BA1" w:rsidRPr="004D1D9D">
        <w:rPr>
          <w:rFonts w:cs="Arial"/>
          <w:color w:val="000000" w:themeColor="text1"/>
        </w:rPr>
        <w:t xml:space="preserve">2019, Georgia's </w:t>
      </w:r>
      <w:r w:rsidR="000659C1">
        <w:rPr>
          <w:rFonts w:cs="Arial"/>
          <w:color w:val="000000" w:themeColor="text1"/>
        </w:rPr>
        <w:t>general government</w:t>
      </w:r>
      <w:r w:rsidR="00702BA1" w:rsidRPr="004D1D9D">
        <w:rPr>
          <w:rFonts w:cs="Arial"/>
          <w:color w:val="000000" w:themeColor="text1"/>
        </w:rPr>
        <w:t xml:space="preserve"> debt-to-GDP ratio</w:t>
      </w:r>
      <w:r w:rsidR="00786046">
        <w:rPr>
          <w:rFonts w:cs="Arial"/>
          <w:color w:val="000000" w:themeColor="text1"/>
        </w:rPr>
        <w:t xml:space="preserve"> </w:t>
      </w:r>
      <w:r w:rsidR="00702BA1" w:rsidRPr="004D1D9D">
        <w:rPr>
          <w:rFonts w:cs="Arial"/>
          <w:color w:val="000000" w:themeColor="text1"/>
        </w:rPr>
        <w:t xml:space="preserve">has been </w:t>
      </w:r>
      <w:r w:rsidR="00235FA9">
        <w:rPr>
          <w:rFonts w:cs="Arial"/>
          <w:color w:val="000000" w:themeColor="text1"/>
        </w:rPr>
        <w:t>below</w:t>
      </w:r>
      <w:r w:rsidR="00786046">
        <w:rPr>
          <w:rFonts w:cs="Arial"/>
          <w:color w:val="000000" w:themeColor="text1"/>
        </w:rPr>
        <w:t xml:space="preserve"> 4</w:t>
      </w:r>
      <w:r w:rsidR="0041487D">
        <w:rPr>
          <w:rFonts w:cs="Arial"/>
          <w:color w:val="000000" w:themeColor="text1"/>
        </w:rPr>
        <w:t>2</w:t>
      </w:r>
      <w:r w:rsidR="00786046">
        <w:rPr>
          <w:rFonts w:cs="Arial"/>
          <w:color w:val="000000" w:themeColor="text1"/>
        </w:rPr>
        <w:t>%</w:t>
      </w:r>
      <w:r w:rsidR="0041487D">
        <w:rPr>
          <w:rFonts w:cs="Arial"/>
          <w:color w:val="000000" w:themeColor="text1"/>
        </w:rPr>
        <w:t xml:space="preserve"> of GDP</w:t>
      </w:r>
      <w:r w:rsidR="00786046">
        <w:rPr>
          <w:rFonts w:cs="Arial"/>
          <w:color w:val="000000" w:themeColor="text1"/>
        </w:rPr>
        <w:t xml:space="preserve"> </w:t>
      </w:r>
      <w:r w:rsidR="0041487D">
        <w:rPr>
          <w:rFonts w:cs="Arial"/>
          <w:color w:val="000000" w:themeColor="text1"/>
        </w:rPr>
        <w:t>between 2017-20</w:t>
      </w:r>
      <w:r w:rsidR="008A3912">
        <w:rPr>
          <w:rFonts w:cs="Arial"/>
          <w:color w:val="000000" w:themeColor="text1"/>
        </w:rPr>
        <w:t>19</w:t>
      </w:r>
      <w:r w:rsidR="00702BA1" w:rsidRPr="004D1D9D">
        <w:rPr>
          <w:rFonts w:cs="Arial"/>
          <w:color w:val="000000" w:themeColor="text1"/>
        </w:rPr>
        <w:t xml:space="preserve">. </w:t>
      </w:r>
      <w:r w:rsidR="00C53D96">
        <w:rPr>
          <w:rFonts w:cs="Arial"/>
          <w:color w:val="000000" w:themeColor="text1"/>
        </w:rPr>
        <w:t xml:space="preserve">However, </w:t>
      </w:r>
      <w:r w:rsidR="00235FA9">
        <w:rPr>
          <w:rFonts w:cs="Arial"/>
          <w:color w:val="000000" w:themeColor="text1"/>
        </w:rPr>
        <w:t>general government debt</w:t>
      </w:r>
      <w:r w:rsidR="00702BA1" w:rsidRPr="004D1D9D">
        <w:rPr>
          <w:rFonts w:cs="Arial"/>
          <w:color w:val="000000" w:themeColor="text1"/>
        </w:rPr>
        <w:t xml:space="preserve"> </w:t>
      </w:r>
      <w:r w:rsidR="00A369E6">
        <w:rPr>
          <w:rFonts w:cs="Arial"/>
          <w:color w:val="000000" w:themeColor="text1"/>
        </w:rPr>
        <w:t>will</w:t>
      </w:r>
      <w:r w:rsidR="00702BA1" w:rsidRPr="004D1D9D">
        <w:rPr>
          <w:rFonts w:cs="Arial"/>
          <w:color w:val="000000" w:themeColor="text1"/>
        </w:rPr>
        <w:t xml:space="preserve"> increase sharply to </w:t>
      </w:r>
      <w:r w:rsidR="006515FC">
        <w:rPr>
          <w:rFonts w:cs="Arial"/>
          <w:color w:val="000000" w:themeColor="text1"/>
        </w:rPr>
        <w:t>54</w:t>
      </w:r>
      <w:r w:rsidR="0020785A">
        <w:rPr>
          <w:rFonts w:cs="Arial"/>
          <w:color w:val="000000" w:themeColor="text1"/>
        </w:rPr>
        <w:t>.</w:t>
      </w:r>
      <w:r w:rsidR="006515FC">
        <w:rPr>
          <w:rFonts w:cs="Arial"/>
          <w:color w:val="000000" w:themeColor="text1"/>
        </w:rPr>
        <w:t>4</w:t>
      </w:r>
      <w:r w:rsidR="00702BA1" w:rsidRPr="004D1D9D">
        <w:rPr>
          <w:rFonts w:cs="Arial"/>
          <w:color w:val="000000" w:themeColor="text1"/>
        </w:rPr>
        <w:t>% of GDP</w:t>
      </w:r>
      <w:r w:rsidR="00A369E6">
        <w:rPr>
          <w:rFonts w:cs="Arial"/>
          <w:color w:val="000000" w:themeColor="text1"/>
        </w:rPr>
        <w:t xml:space="preserve"> in 2020</w:t>
      </w:r>
      <w:r w:rsidR="00EB1518">
        <w:rPr>
          <w:rFonts w:cs="Arial"/>
          <w:color w:val="000000" w:themeColor="text1"/>
        </w:rPr>
        <w:t xml:space="preserve"> from 4</w:t>
      </w:r>
      <w:r w:rsidR="00235FA9">
        <w:rPr>
          <w:rFonts w:cs="Arial"/>
          <w:color w:val="000000" w:themeColor="text1"/>
        </w:rPr>
        <w:t>1</w:t>
      </w:r>
      <w:r w:rsidR="00EB1518">
        <w:rPr>
          <w:rFonts w:cs="Arial"/>
          <w:color w:val="000000" w:themeColor="text1"/>
        </w:rPr>
        <w:t>.</w:t>
      </w:r>
      <w:r w:rsidR="00235FA9">
        <w:rPr>
          <w:rFonts w:cs="Arial"/>
          <w:color w:val="000000" w:themeColor="text1"/>
        </w:rPr>
        <w:t>2</w:t>
      </w:r>
      <w:r w:rsidR="00EB1518">
        <w:rPr>
          <w:rFonts w:cs="Arial"/>
          <w:color w:val="000000" w:themeColor="text1"/>
        </w:rPr>
        <w:t>% in 2019</w:t>
      </w:r>
      <w:r w:rsidR="00DD1D9E">
        <w:rPr>
          <w:rFonts w:cs="Arial"/>
          <w:color w:val="000000" w:themeColor="text1"/>
        </w:rPr>
        <w:t>.</w:t>
      </w:r>
      <w:r w:rsidR="00720E13">
        <w:rPr>
          <w:rFonts w:cs="Arial"/>
          <w:color w:val="000000" w:themeColor="text1"/>
        </w:rPr>
        <w:t xml:space="preserve"> </w:t>
      </w:r>
      <w:bookmarkStart w:id="7" w:name="_Hlk51188863"/>
      <w:r w:rsidR="00720E13">
        <w:rPr>
          <w:rFonts w:cs="Arial"/>
          <w:color w:val="000000" w:themeColor="text1"/>
        </w:rPr>
        <w:t xml:space="preserve">While the authorities have a medium term plan </w:t>
      </w:r>
      <w:r w:rsidR="00A40723">
        <w:rPr>
          <w:rFonts w:cs="Arial"/>
          <w:color w:val="000000" w:themeColor="text1"/>
        </w:rPr>
        <w:t xml:space="preserve">to gradually reduce government debt as a share of GDP </w:t>
      </w:r>
      <w:r w:rsidR="00720E13">
        <w:rPr>
          <w:rFonts w:cs="Arial"/>
          <w:color w:val="000000" w:themeColor="text1"/>
        </w:rPr>
        <w:t xml:space="preserve"> </w:t>
      </w:r>
      <w:r w:rsidR="0035057C">
        <w:rPr>
          <w:rFonts w:cs="Arial"/>
          <w:color w:val="000000" w:themeColor="text1"/>
        </w:rPr>
        <w:t>to 51.9% in 2024</w:t>
      </w:r>
      <w:r w:rsidR="00F36D1F">
        <w:rPr>
          <w:rStyle w:val="FootnoteReference"/>
          <w:color w:val="000000" w:themeColor="text1"/>
        </w:rPr>
        <w:footnoteReference w:id="12"/>
      </w:r>
      <w:r w:rsidR="0035057C">
        <w:rPr>
          <w:rFonts w:cs="Arial"/>
          <w:color w:val="000000" w:themeColor="text1"/>
        </w:rPr>
        <w:t>, t</w:t>
      </w:r>
      <w:r w:rsidR="00195F5D" w:rsidRPr="00473F1A">
        <w:rPr>
          <w:rFonts w:cs="Arial"/>
          <w:color w:val="000000" w:themeColor="text1"/>
        </w:rPr>
        <w:t xml:space="preserve">here are </w:t>
      </w:r>
      <w:r w:rsidR="0035057C" w:rsidRPr="00473F1A">
        <w:rPr>
          <w:rFonts w:cs="Arial"/>
          <w:color w:val="000000" w:themeColor="text1"/>
        </w:rPr>
        <w:t>rollover, currency and contingency</w:t>
      </w:r>
      <w:r w:rsidR="0035057C">
        <w:rPr>
          <w:rFonts w:cs="Arial"/>
          <w:color w:val="000000" w:themeColor="text1"/>
        </w:rPr>
        <w:t xml:space="preserve"> </w:t>
      </w:r>
      <w:r w:rsidR="00195F5D" w:rsidRPr="00473F1A">
        <w:rPr>
          <w:rFonts w:cs="Arial"/>
          <w:color w:val="000000" w:themeColor="text1"/>
        </w:rPr>
        <w:t>risks</w:t>
      </w:r>
      <w:r w:rsidR="0035057C">
        <w:rPr>
          <w:rFonts w:cs="Arial"/>
          <w:color w:val="000000" w:themeColor="text1"/>
        </w:rPr>
        <w:t xml:space="preserve"> that may disrupt this trajectory</w:t>
      </w:r>
      <w:r w:rsidR="002C06A6">
        <w:rPr>
          <w:rFonts w:cs="Arial"/>
          <w:color w:val="000000" w:themeColor="text1"/>
        </w:rPr>
        <w:t xml:space="preserve"> (footnote 6)</w:t>
      </w:r>
      <w:r w:rsidR="00702BA1" w:rsidRPr="004D1D9D">
        <w:rPr>
          <w:rFonts w:cs="Arial"/>
          <w:color w:val="000000" w:themeColor="text1"/>
        </w:rPr>
        <w:t>.</w:t>
      </w:r>
      <w:r w:rsidR="00702BA1">
        <w:rPr>
          <w:rFonts w:cs="Arial"/>
          <w:color w:val="000000" w:themeColor="text1"/>
        </w:rPr>
        <w:t xml:space="preserve"> </w:t>
      </w:r>
      <w:bookmarkEnd w:id="7"/>
      <w:r w:rsidR="00D761F4">
        <w:rPr>
          <w:rFonts w:cs="Arial"/>
          <w:color w:val="000000" w:themeColor="text1"/>
        </w:rPr>
        <w:t>T</w:t>
      </w:r>
      <w:r w:rsidR="009B4EA4" w:rsidRPr="00473F1A">
        <w:rPr>
          <w:rFonts w:cs="Arial"/>
          <w:color w:val="000000" w:themeColor="text1"/>
        </w:rPr>
        <w:t xml:space="preserve">he fiscal deficit has increased </w:t>
      </w:r>
      <w:r w:rsidR="005306AD">
        <w:rPr>
          <w:rFonts w:cs="Arial"/>
          <w:color w:val="000000" w:themeColor="text1"/>
        </w:rPr>
        <w:t xml:space="preserve">significantly </w:t>
      </w:r>
      <w:r w:rsidR="009B4EA4" w:rsidRPr="00473F1A">
        <w:rPr>
          <w:rFonts w:cs="Arial"/>
          <w:color w:val="000000" w:themeColor="text1"/>
        </w:rPr>
        <w:t xml:space="preserve">to </w:t>
      </w:r>
      <w:r w:rsidR="000848FD">
        <w:rPr>
          <w:rFonts w:cs="Arial"/>
          <w:color w:val="000000" w:themeColor="text1"/>
        </w:rPr>
        <w:t>-</w:t>
      </w:r>
      <w:r w:rsidR="009B4EA4" w:rsidRPr="00473F1A">
        <w:rPr>
          <w:rFonts w:cs="Arial"/>
          <w:color w:val="000000" w:themeColor="text1"/>
        </w:rPr>
        <w:t>8.5% in 2020</w:t>
      </w:r>
      <w:r w:rsidR="005306AD">
        <w:rPr>
          <w:rFonts w:cs="Arial"/>
          <w:color w:val="000000" w:themeColor="text1"/>
        </w:rPr>
        <w:t>,</w:t>
      </w:r>
      <w:r w:rsidR="00CB669D">
        <w:rPr>
          <w:rFonts w:cs="Arial"/>
          <w:color w:val="000000" w:themeColor="text1"/>
        </w:rPr>
        <w:t xml:space="preserve"> from</w:t>
      </w:r>
      <w:r w:rsidR="009B4EA4" w:rsidRPr="00473F1A">
        <w:rPr>
          <w:rFonts w:cs="Arial"/>
          <w:color w:val="000000" w:themeColor="text1"/>
        </w:rPr>
        <w:t xml:space="preserve"> -2.2% in 2019</w:t>
      </w:r>
      <w:r w:rsidR="00E0614C">
        <w:rPr>
          <w:rFonts w:cs="Arial"/>
          <w:color w:val="000000" w:themeColor="text1"/>
        </w:rPr>
        <w:t>,</w:t>
      </w:r>
      <w:r w:rsidR="00A92B8D">
        <w:rPr>
          <w:rFonts w:cs="Arial"/>
          <w:color w:val="000000" w:themeColor="text1"/>
        </w:rPr>
        <w:t xml:space="preserve"> </w:t>
      </w:r>
      <w:r w:rsidR="000228E6">
        <w:rPr>
          <w:rFonts w:cs="Arial"/>
          <w:color w:val="000000" w:themeColor="text1"/>
        </w:rPr>
        <w:t xml:space="preserve">well </w:t>
      </w:r>
      <w:r w:rsidR="00CB669D">
        <w:rPr>
          <w:rFonts w:cs="Arial"/>
          <w:color w:val="000000" w:themeColor="text1"/>
        </w:rPr>
        <w:t xml:space="preserve">above </w:t>
      </w:r>
      <w:r w:rsidR="00A92B8D">
        <w:rPr>
          <w:rFonts w:cs="Arial"/>
          <w:color w:val="000000" w:themeColor="text1"/>
        </w:rPr>
        <w:t xml:space="preserve">the </w:t>
      </w:r>
      <w:r w:rsidR="00BE7D06">
        <w:rPr>
          <w:rFonts w:cs="Arial"/>
          <w:color w:val="000000" w:themeColor="text1"/>
        </w:rPr>
        <w:t xml:space="preserve">3.0% </w:t>
      </w:r>
      <w:r w:rsidR="00A92B8D">
        <w:rPr>
          <w:rFonts w:cs="Arial"/>
          <w:color w:val="000000" w:themeColor="text1"/>
        </w:rPr>
        <w:t xml:space="preserve">ceiling </w:t>
      </w:r>
      <w:r w:rsidR="00BE7D06">
        <w:rPr>
          <w:rFonts w:cs="Arial"/>
          <w:color w:val="000000" w:themeColor="text1"/>
        </w:rPr>
        <w:t>of</w:t>
      </w:r>
      <w:r w:rsidR="00E0614C">
        <w:rPr>
          <w:rFonts w:cs="Arial"/>
          <w:color w:val="000000" w:themeColor="text1"/>
        </w:rPr>
        <w:t xml:space="preserve"> the </w:t>
      </w:r>
      <w:r w:rsidR="00B01B57">
        <w:rPr>
          <w:rFonts w:cs="Arial"/>
          <w:color w:val="000000" w:themeColor="text1"/>
        </w:rPr>
        <w:t>Economic</w:t>
      </w:r>
      <w:r w:rsidR="00E0614C">
        <w:rPr>
          <w:rFonts w:cs="Arial"/>
          <w:color w:val="000000" w:themeColor="text1"/>
        </w:rPr>
        <w:t xml:space="preserve"> Liberty Act</w:t>
      </w:r>
      <w:r w:rsidR="009B4EA4" w:rsidRPr="00473F1A">
        <w:rPr>
          <w:rFonts w:cs="Arial"/>
          <w:color w:val="000000" w:themeColor="text1"/>
        </w:rPr>
        <w:t>.</w:t>
      </w:r>
      <w:r w:rsidR="003076E6">
        <w:rPr>
          <w:rStyle w:val="FootnoteReference"/>
          <w:color w:val="000000" w:themeColor="text1"/>
        </w:rPr>
        <w:footnoteReference w:id="13"/>
      </w:r>
      <w:r w:rsidR="00567B72" w:rsidRPr="00117608">
        <w:rPr>
          <w:rFonts w:cs="Arial"/>
          <w:color w:val="000000" w:themeColor="text1"/>
        </w:rPr>
        <w:t xml:space="preserve"> </w:t>
      </w:r>
    </w:p>
    <w:p w14:paraId="2288A850" w14:textId="77777777" w:rsidR="00701B9C" w:rsidRPr="00B25993" w:rsidRDefault="00701B9C" w:rsidP="00B25993">
      <w:pPr>
        <w:pStyle w:val="ListParagraph"/>
        <w:ind w:left="0"/>
        <w:jc w:val="both"/>
        <w:rPr>
          <w:rFonts w:cs="Arial"/>
          <w:color w:val="FF0000"/>
        </w:rPr>
      </w:pPr>
    </w:p>
    <w:p w14:paraId="4EB2177E" w14:textId="63B34A04" w:rsidR="00B9741F" w:rsidRPr="00357D60" w:rsidRDefault="00AE65FC" w:rsidP="00117608">
      <w:pPr>
        <w:pStyle w:val="ListParagraph"/>
        <w:numPr>
          <w:ilvl w:val="0"/>
          <w:numId w:val="29"/>
        </w:numPr>
        <w:ind w:left="0" w:firstLine="0"/>
        <w:jc w:val="both"/>
        <w:rPr>
          <w:rFonts w:cs="Arial"/>
          <w:b/>
          <w:bCs/>
        </w:rPr>
      </w:pPr>
      <w:r w:rsidRPr="00357D60">
        <w:rPr>
          <w:rFonts w:cs="Arial"/>
          <w:b/>
          <w:bCs/>
        </w:rPr>
        <w:t xml:space="preserve">The increasing share of external public debt exposes Georgia’s vulnerabilities to economic shocks. </w:t>
      </w:r>
      <w:r w:rsidR="00357D60">
        <w:rPr>
          <w:rFonts w:cs="Arial"/>
          <w:b/>
          <w:bCs/>
        </w:rPr>
        <w:t xml:space="preserve"> </w:t>
      </w:r>
      <w:r w:rsidR="00357D60" w:rsidRPr="002C1ED1">
        <w:rPr>
          <w:rFonts w:cs="Arial"/>
        </w:rPr>
        <w:t xml:space="preserve">Domestic markets in Georgia are not sufficiently liquid to finance public financing needs in their totality. To address this shortcoming, the government is seeking foreign currency financing from development partners to finance its ambitious countercyclical development expenditure program. As a result, the share of foreign currency denominated </w:t>
      </w:r>
      <w:r w:rsidR="00357D60" w:rsidRPr="002C1ED1">
        <w:rPr>
          <w:rFonts w:cs="Arial"/>
        </w:rPr>
        <w:lastRenderedPageBreak/>
        <w:t>government debt</w:t>
      </w:r>
      <w:r w:rsidR="00441838">
        <w:rPr>
          <w:rFonts w:cs="Arial"/>
        </w:rPr>
        <w:t xml:space="preserve"> as a share of GDP</w:t>
      </w:r>
      <w:r w:rsidR="00357D60" w:rsidRPr="002C1ED1">
        <w:rPr>
          <w:rFonts w:cs="Arial"/>
        </w:rPr>
        <w:t xml:space="preserve"> in Georgia is expected to increase from 31.5% in 2019 to 42.5% in 2020.</w:t>
      </w:r>
      <w:r w:rsidR="00E654D0">
        <w:rPr>
          <w:rStyle w:val="FootnoteReference"/>
        </w:rPr>
        <w:footnoteReference w:id="14"/>
      </w:r>
      <w:r w:rsidR="00357D60" w:rsidRPr="002C1ED1">
        <w:rPr>
          <w:rFonts w:cs="Arial"/>
        </w:rPr>
        <w:t xml:space="preserve"> This, in turn, increases public exposure to </w:t>
      </w:r>
      <w:r w:rsidR="00441838">
        <w:rPr>
          <w:rFonts w:cs="Arial"/>
        </w:rPr>
        <w:t>f</w:t>
      </w:r>
      <w:r w:rsidR="00357D60" w:rsidRPr="002C1ED1">
        <w:rPr>
          <w:rFonts w:cs="Arial"/>
        </w:rPr>
        <w:t>oreign currency and refinancing risk</w:t>
      </w:r>
      <w:r w:rsidR="002C1ED1" w:rsidRPr="002C1ED1">
        <w:rPr>
          <w:rFonts w:cs="Arial"/>
        </w:rPr>
        <w:t>s, threatening economic recovery in the medium term.</w:t>
      </w:r>
      <w:r w:rsidR="00943E4E">
        <w:rPr>
          <w:rStyle w:val="FootnoteReference"/>
        </w:rPr>
        <w:footnoteReference w:id="15"/>
      </w:r>
      <w:r w:rsidR="002C1ED1" w:rsidRPr="002C1ED1">
        <w:rPr>
          <w:rFonts w:cs="Arial"/>
        </w:rPr>
        <w:t xml:space="preserve"> Despite efforts to diversify the currency composition of government debt portfolio</w:t>
      </w:r>
      <w:r w:rsidR="0061608A">
        <w:rPr>
          <w:rFonts w:cs="Arial"/>
        </w:rPr>
        <w:t xml:space="preserve"> and maintain a minimum of 20%</w:t>
      </w:r>
      <w:r w:rsidR="002C1ED1" w:rsidRPr="002C1ED1">
        <w:rPr>
          <w:rFonts w:cs="Arial"/>
        </w:rPr>
        <w:t>, external debt accounts for roughly 80% of general government debt from which dollar-denominated debt prevails.</w:t>
      </w:r>
      <w:r w:rsidR="00DF4C40">
        <w:rPr>
          <w:rStyle w:val="FootnoteReference"/>
        </w:rPr>
        <w:footnoteReference w:id="16"/>
      </w:r>
      <w:r w:rsidR="002C1ED1" w:rsidRPr="002C1ED1">
        <w:rPr>
          <w:rFonts w:cs="Arial"/>
        </w:rPr>
        <w:t xml:space="preserve"> Continued reliance on external and foreign currency denominated finance counter efforts to deepen domestic debt markets and increase public exposure to external risks, while limiting the effectiveness of </w:t>
      </w:r>
      <w:r w:rsidR="00D112CC">
        <w:rPr>
          <w:rFonts w:cs="Arial"/>
        </w:rPr>
        <w:t xml:space="preserve">countercyclical </w:t>
      </w:r>
      <w:r w:rsidR="002C1ED1" w:rsidRPr="002C1ED1">
        <w:rPr>
          <w:rFonts w:cs="Arial"/>
        </w:rPr>
        <w:t>monetary and fiscal policies.</w:t>
      </w:r>
      <w:r w:rsidR="002C1ED1">
        <w:rPr>
          <w:rFonts w:cs="Arial"/>
          <w:b/>
          <w:bCs/>
        </w:rPr>
        <w:t xml:space="preserve"> </w:t>
      </w:r>
    </w:p>
    <w:p w14:paraId="213C1AD0" w14:textId="77777777" w:rsidR="00B9741F" w:rsidRPr="00B9741F" w:rsidRDefault="00B9741F" w:rsidP="00B9741F">
      <w:pPr>
        <w:pStyle w:val="ListParagraph"/>
        <w:rPr>
          <w:rFonts w:cs="Arial"/>
          <w:b/>
          <w:bCs/>
          <w:color w:val="000000" w:themeColor="text1"/>
        </w:rPr>
      </w:pPr>
    </w:p>
    <w:p w14:paraId="175D935E" w14:textId="07E08E56" w:rsidR="00B57729" w:rsidRPr="001E7F56" w:rsidRDefault="50D5B5FB" w:rsidP="00117608">
      <w:pPr>
        <w:pStyle w:val="ListParagraph"/>
        <w:numPr>
          <w:ilvl w:val="0"/>
          <w:numId w:val="29"/>
        </w:numPr>
        <w:ind w:left="0" w:firstLine="0"/>
        <w:jc w:val="both"/>
        <w:rPr>
          <w:rFonts w:cs="Arial"/>
          <w:color w:val="FF0000"/>
        </w:rPr>
      </w:pPr>
      <w:r w:rsidRPr="00B25993">
        <w:rPr>
          <w:rFonts w:cs="Arial"/>
          <w:b/>
          <w:bCs/>
          <w:color w:val="000000" w:themeColor="text1"/>
        </w:rPr>
        <w:t>In the medium</w:t>
      </w:r>
      <w:r w:rsidR="00BD1E49">
        <w:rPr>
          <w:rFonts w:cs="Arial"/>
          <w:b/>
          <w:color w:val="000000" w:themeColor="text1"/>
        </w:rPr>
        <w:t>-</w:t>
      </w:r>
      <w:r w:rsidRPr="00B25993">
        <w:rPr>
          <w:rFonts w:cs="Arial"/>
          <w:b/>
          <w:bCs/>
          <w:color w:val="000000" w:themeColor="text1"/>
        </w:rPr>
        <w:t xml:space="preserve">term, the authorities plan to </w:t>
      </w:r>
      <w:r w:rsidR="52545FA7" w:rsidRPr="00B25993">
        <w:rPr>
          <w:rFonts w:cs="Arial"/>
          <w:b/>
          <w:bCs/>
          <w:color w:val="000000" w:themeColor="text1"/>
        </w:rPr>
        <w:t>narrow the fiscal deficit to reduce the need to borrow externally</w:t>
      </w:r>
      <w:r w:rsidR="68A87FC7" w:rsidRPr="5D84ACAA">
        <w:rPr>
          <w:rFonts w:cs="Arial"/>
          <w:color w:val="000000" w:themeColor="text1"/>
        </w:rPr>
        <w:t>.</w:t>
      </w:r>
      <w:r w:rsidR="783DEE4A" w:rsidRPr="00117608">
        <w:rPr>
          <w:rFonts w:cs="Arial"/>
          <w:color w:val="000000" w:themeColor="text1"/>
        </w:rPr>
        <w:t xml:space="preserve"> </w:t>
      </w:r>
      <w:r w:rsidR="00DD7777">
        <w:rPr>
          <w:rFonts w:cs="Arial"/>
          <w:color w:val="000000" w:themeColor="text1"/>
        </w:rPr>
        <w:t>As a response to the</w:t>
      </w:r>
      <w:r w:rsidR="003D06D0">
        <w:rPr>
          <w:rFonts w:cs="Arial"/>
          <w:color w:val="000000" w:themeColor="text1"/>
        </w:rPr>
        <w:t xml:space="preserve"> </w:t>
      </w:r>
      <w:r w:rsidR="008039EB">
        <w:rPr>
          <w:rFonts w:cs="Arial"/>
          <w:color w:val="000000" w:themeColor="text1"/>
        </w:rPr>
        <w:t>sharp increase in the fiscal deficit in 2020</w:t>
      </w:r>
      <w:r w:rsidR="001C09D9">
        <w:rPr>
          <w:rFonts w:cs="Arial"/>
          <w:color w:val="000000" w:themeColor="text1"/>
        </w:rPr>
        <w:t>,</w:t>
      </w:r>
      <w:r w:rsidR="00DD7777">
        <w:rPr>
          <w:rFonts w:cs="Arial"/>
          <w:color w:val="000000" w:themeColor="text1"/>
        </w:rPr>
        <w:t xml:space="preserve"> the authorities have adop</w:t>
      </w:r>
      <w:r w:rsidR="00E57B0B">
        <w:rPr>
          <w:rFonts w:cs="Arial"/>
          <w:color w:val="000000" w:themeColor="text1"/>
        </w:rPr>
        <w:t>t</w:t>
      </w:r>
      <w:r w:rsidR="00DD7777">
        <w:rPr>
          <w:rFonts w:cs="Arial"/>
          <w:color w:val="000000" w:themeColor="text1"/>
        </w:rPr>
        <w:t xml:space="preserve">ed a medium term plan to gradually </w:t>
      </w:r>
      <w:r w:rsidR="00F00A4C">
        <w:rPr>
          <w:rFonts w:cs="Arial"/>
          <w:color w:val="000000" w:themeColor="text1"/>
        </w:rPr>
        <w:t>bring the fiscal deficit under the 3% by 2024.</w:t>
      </w:r>
      <w:r w:rsidR="00F00A4C">
        <w:rPr>
          <w:rStyle w:val="FootnoteReference"/>
          <w:color w:val="000000" w:themeColor="text1"/>
        </w:rPr>
        <w:footnoteReference w:id="17"/>
      </w:r>
      <w:r w:rsidR="001C09D9">
        <w:rPr>
          <w:rFonts w:cs="Arial"/>
          <w:color w:val="000000" w:themeColor="text1"/>
        </w:rPr>
        <w:t xml:space="preserve"> </w:t>
      </w:r>
      <w:r w:rsidR="00B62E06">
        <w:rPr>
          <w:rFonts w:cs="Arial"/>
          <w:color w:val="000000" w:themeColor="text1"/>
        </w:rPr>
        <w:t xml:space="preserve"> However, the risk of a</w:t>
      </w:r>
      <w:r w:rsidR="5565E5B2" w:rsidRPr="5D84ACAA">
        <w:rPr>
          <w:rFonts w:cs="Arial"/>
          <w:color w:val="000000" w:themeColor="text1"/>
        </w:rPr>
        <w:t xml:space="preserve"> protracted crisis </w:t>
      </w:r>
      <w:r w:rsidR="51E522D7" w:rsidRPr="5D84ACAA">
        <w:rPr>
          <w:rFonts w:cs="Arial"/>
          <w:color w:val="000000" w:themeColor="text1"/>
        </w:rPr>
        <w:t xml:space="preserve">could </w:t>
      </w:r>
      <w:r w:rsidR="21AF089B" w:rsidRPr="5D84ACAA">
        <w:rPr>
          <w:rFonts w:cs="Arial"/>
          <w:color w:val="000000" w:themeColor="text1"/>
        </w:rPr>
        <w:t>r</w:t>
      </w:r>
      <w:r w:rsidR="313794FF" w:rsidRPr="5D84ACAA">
        <w:rPr>
          <w:rFonts w:cs="Arial"/>
          <w:color w:val="000000" w:themeColor="text1"/>
        </w:rPr>
        <w:t xml:space="preserve">equire </w:t>
      </w:r>
      <w:r w:rsidR="4793473F" w:rsidRPr="5D84ACAA">
        <w:rPr>
          <w:rFonts w:cs="Arial"/>
          <w:color w:val="000000" w:themeColor="text1"/>
        </w:rPr>
        <w:t>the extension of</w:t>
      </w:r>
      <w:r w:rsidR="646E3CBA" w:rsidRPr="5D84ACAA">
        <w:rPr>
          <w:rFonts w:cs="Arial"/>
          <w:color w:val="000000" w:themeColor="text1"/>
        </w:rPr>
        <w:t xml:space="preserve"> </w:t>
      </w:r>
      <w:r w:rsidR="59A56D4A" w:rsidRPr="5D84ACAA">
        <w:rPr>
          <w:rFonts w:cs="Arial"/>
          <w:color w:val="000000" w:themeColor="text1"/>
        </w:rPr>
        <w:t xml:space="preserve">the temporary </w:t>
      </w:r>
      <w:r w:rsidR="587C0F68" w:rsidRPr="5D84ACAA">
        <w:rPr>
          <w:rFonts w:cs="Arial"/>
          <w:color w:val="000000" w:themeColor="text1"/>
        </w:rPr>
        <w:t>social protection measures</w:t>
      </w:r>
      <w:r w:rsidR="4793473F" w:rsidRPr="5D84ACAA">
        <w:rPr>
          <w:rFonts w:cs="Arial"/>
          <w:color w:val="000000" w:themeColor="text1"/>
        </w:rPr>
        <w:t xml:space="preserve"> </w:t>
      </w:r>
      <w:r w:rsidR="004C714E">
        <w:rPr>
          <w:rFonts w:cs="Arial"/>
          <w:color w:val="000000" w:themeColor="text1"/>
        </w:rPr>
        <w:t>as well as</w:t>
      </w:r>
      <w:r w:rsidR="3F62DF46" w:rsidRPr="5D84ACAA">
        <w:rPr>
          <w:rFonts w:cs="Arial"/>
          <w:color w:val="000000" w:themeColor="text1"/>
        </w:rPr>
        <w:t xml:space="preserve"> </w:t>
      </w:r>
      <w:r w:rsidR="40B89F08" w:rsidRPr="5D84ACAA">
        <w:rPr>
          <w:rFonts w:cs="Arial"/>
          <w:color w:val="000000" w:themeColor="text1"/>
        </w:rPr>
        <w:t>lower growth and rev</w:t>
      </w:r>
      <w:r w:rsidR="14E80DAA" w:rsidRPr="5D84ACAA">
        <w:rPr>
          <w:rFonts w:cs="Arial"/>
          <w:color w:val="000000" w:themeColor="text1"/>
        </w:rPr>
        <w:t>e</w:t>
      </w:r>
      <w:r w:rsidR="40B89F08" w:rsidRPr="5D84ACAA">
        <w:rPr>
          <w:rFonts w:cs="Arial"/>
          <w:color w:val="000000" w:themeColor="text1"/>
        </w:rPr>
        <w:t xml:space="preserve">nues </w:t>
      </w:r>
      <w:r w:rsidR="004C714E">
        <w:rPr>
          <w:rFonts w:cs="Arial"/>
          <w:color w:val="000000" w:themeColor="text1"/>
        </w:rPr>
        <w:t>in 2021</w:t>
      </w:r>
      <w:r w:rsidR="14E80DAA" w:rsidRPr="5D84ACAA">
        <w:rPr>
          <w:rFonts w:cs="Arial"/>
          <w:color w:val="000000" w:themeColor="text1"/>
        </w:rPr>
        <w:t xml:space="preserve"> </w:t>
      </w:r>
      <w:r w:rsidR="68A87FC7" w:rsidRPr="5D84ACAA">
        <w:rPr>
          <w:rFonts w:cs="Arial"/>
          <w:color w:val="000000" w:themeColor="text1"/>
        </w:rPr>
        <w:t xml:space="preserve">(footnote </w:t>
      </w:r>
      <w:r w:rsidR="00AB2782">
        <w:rPr>
          <w:rFonts w:cs="Arial"/>
          <w:color w:val="000000" w:themeColor="text1"/>
        </w:rPr>
        <w:t>7</w:t>
      </w:r>
      <w:r w:rsidR="68A87FC7" w:rsidRPr="5D84ACAA">
        <w:rPr>
          <w:rFonts w:cs="Arial"/>
          <w:color w:val="000000" w:themeColor="text1"/>
        </w:rPr>
        <w:t>).</w:t>
      </w:r>
      <w:r w:rsidR="40B89F08" w:rsidRPr="5D84ACAA">
        <w:rPr>
          <w:rFonts w:cs="Arial"/>
          <w:color w:val="000000" w:themeColor="text1"/>
        </w:rPr>
        <w:t xml:space="preserve"> </w:t>
      </w:r>
      <w:r w:rsidR="0004191E">
        <w:rPr>
          <w:rFonts w:cs="Arial"/>
          <w:color w:val="000000" w:themeColor="text1"/>
        </w:rPr>
        <w:t xml:space="preserve">This </w:t>
      </w:r>
      <w:r w:rsidR="00813735" w:rsidRPr="5D84ACAA">
        <w:rPr>
          <w:rFonts w:cs="Arial"/>
          <w:color w:val="000000" w:themeColor="text1"/>
        </w:rPr>
        <w:t xml:space="preserve">could </w:t>
      </w:r>
      <w:r w:rsidR="004C714E">
        <w:rPr>
          <w:rFonts w:cs="Arial"/>
          <w:color w:val="000000" w:themeColor="text1"/>
        </w:rPr>
        <w:t>create</w:t>
      </w:r>
      <w:r w:rsidR="00813735" w:rsidRPr="5D84ACAA">
        <w:rPr>
          <w:rFonts w:cs="Arial"/>
          <w:color w:val="000000" w:themeColor="text1"/>
        </w:rPr>
        <w:t xml:space="preserve"> </w:t>
      </w:r>
      <w:r w:rsidR="004C714E">
        <w:rPr>
          <w:rFonts w:cs="Arial"/>
          <w:color w:val="000000" w:themeColor="text1"/>
        </w:rPr>
        <w:t>a need</w:t>
      </w:r>
      <w:r w:rsidR="00813735" w:rsidRPr="5D84ACAA">
        <w:rPr>
          <w:rFonts w:cs="Arial"/>
          <w:color w:val="000000" w:themeColor="text1"/>
        </w:rPr>
        <w:t xml:space="preserve"> for higher expenditure going into 2021</w:t>
      </w:r>
      <w:r w:rsidR="0059499C">
        <w:rPr>
          <w:rFonts w:cs="Arial"/>
          <w:color w:val="000000" w:themeColor="text1"/>
        </w:rPr>
        <w:t>,</w:t>
      </w:r>
      <w:r w:rsidR="00A23041">
        <w:rPr>
          <w:rFonts w:cs="Arial"/>
          <w:color w:val="000000" w:themeColor="text1"/>
        </w:rPr>
        <w:t xml:space="preserve"> and depending on how global, regional and domestic economic dynamics unfold</w:t>
      </w:r>
      <w:r w:rsidR="00D83724">
        <w:rPr>
          <w:rFonts w:cs="Arial"/>
          <w:color w:val="000000" w:themeColor="text1"/>
        </w:rPr>
        <w:t>,</w:t>
      </w:r>
      <w:r w:rsidR="00813735" w:rsidRPr="5D84ACAA">
        <w:rPr>
          <w:rFonts w:cs="Arial"/>
          <w:color w:val="000000" w:themeColor="text1"/>
        </w:rPr>
        <w:t xml:space="preserve"> a </w:t>
      </w:r>
      <w:r w:rsidR="00D83724">
        <w:rPr>
          <w:rFonts w:cs="Arial"/>
          <w:color w:val="000000" w:themeColor="text1"/>
        </w:rPr>
        <w:t>slower</w:t>
      </w:r>
      <w:r w:rsidR="00813735" w:rsidRPr="5D84ACAA">
        <w:rPr>
          <w:rFonts w:cs="Arial"/>
          <w:color w:val="000000" w:themeColor="text1"/>
        </w:rPr>
        <w:t xml:space="preserve"> than expected </w:t>
      </w:r>
      <w:r w:rsidR="00D83724">
        <w:rPr>
          <w:rFonts w:cs="Arial"/>
          <w:color w:val="000000" w:themeColor="text1"/>
        </w:rPr>
        <w:t>rebound</w:t>
      </w:r>
      <w:r w:rsidR="00813735" w:rsidRPr="5D84ACAA">
        <w:rPr>
          <w:rFonts w:cs="Arial"/>
          <w:color w:val="000000" w:themeColor="text1"/>
        </w:rPr>
        <w:t xml:space="preserve"> in economic activity</w:t>
      </w:r>
      <w:r w:rsidR="00D83724">
        <w:rPr>
          <w:rFonts w:cs="Arial"/>
          <w:color w:val="000000" w:themeColor="text1"/>
        </w:rPr>
        <w:t xml:space="preserve"> with</w:t>
      </w:r>
      <w:r w:rsidR="00813735" w:rsidRPr="5D84ACAA">
        <w:rPr>
          <w:rFonts w:cs="Arial"/>
          <w:color w:val="000000" w:themeColor="text1"/>
        </w:rPr>
        <w:t xml:space="preserve"> lower than expected revenue</w:t>
      </w:r>
      <w:r w:rsidR="00D83724">
        <w:rPr>
          <w:rFonts w:cs="Arial"/>
          <w:color w:val="000000" w:themeColor="text1"/>
        </w:rPr>
        <w:t>s</w:t>
      </w:r>
      <w:r w:rsidR="00813735" w:rsidRPr="5D84ACAA">
        <w:rPr>
          <w:rFonts w:cs="Arial"/>
          <w:color w:val="000000" w:themeColor="text1"/>
        </w:rPr>
        <w:t xml:space="preserve"> in the coming years. </w:t>
      </w:r>
      <w:r w:rsidR="652FEF09" w:rsidRPr="00117608">
        <w:rPr>
          <w:rFonts w:cs="Arial"/>
          <w:color w:val="000000" w:themeColor="text1"/>
        </w:rPr>
        <w:t>Higher than planned fiscal deficits in the medium</w:t>
      </w:r>
      <w:r w:rsidR="003B055C">
        <w:rPr>
          <w:rFonts w:cs="Arial"/>
          <w:color w:val="000000" w:themeColor="text1"/>
        </w:rPr>
        <w:t>-</w:t>
      </w:r>
      <w:r w:rsidR="652FEF09" w:rsidRPr="00117608">
        <w:rPr>
          <w:rFonts w:cs="Arial"/>
          <w:color w:val="000000" w:themeColor="text1"/>
        </w:rPr>
        <w:t xml:space="preserve">term could </w:t>
      </w:r>
      <w:r w:rsidR="4AEEB7E9" w:rsidRPr="00117608">
        <w:rPr>
          <w:rFonts w:cs="Arial"/>
          <w:color w:val="000000" w:themeColor="text1"/>
        </w:rPr>
        <w:t>frustrate</w:t>
      </w:r>
      <w:r w:rsidR="652FEF09" w:rsidRPr="00117608">
        <w:rPr>
          <w:rFonts w:cs="Arial"/>
          <w:color w:val="000000" w:themeColor="text1"/>
        </w:rPr>
        <w:t xml:space="preserve"> the government’s plan to minimize borrowing </w:t>
      </w:r>
      <w:r w:rsidR="4AEEB7E9" w:rsidRPr="00117608">
        <w:rPr>
          <w:rFonts w:cs="Arial"/>
          <w:color w:val="000000" w:themeColor="text1"/>
        </w:rPr>
        <w:t>needs and</w:t>
      </w:r>
      <w:r w:rsidR="12314CDB" w:rsidRPr="00117608">
        <w:rPr>
          <w:rFonts w:cs="Arial"/>
          <w:color w:val="000000" w:themeColor="text1"/>
        </w:rPr>
        <w:t>, in the absence of deeper domestic markets, contribute to further exposure to refinancing and currency risks.</w:t>
      </w:r>
      <w:r w:rsidR="00F0128F">
        <w:rPr>
          <w:rStyle w:val="FootnoteReference"/>
          <w:color w:val="000000" w:themeColor="text1"/>
        </w:rPr>
        <w:footnoteReference w:id="18"/>
      </w:r>
      <w:r w:rsidR="12314CDB" w:rsidRPr="00117608">
        <w:rPr>
          <w:rFonts w:cs="Arial"/>
          <w:color w:val="000000" w:themeColor="text1"/>
        </w:rPr>
        <w:t xml:space="preserve"> </w:t>
      </w:r>
      <w:r w:rsidR="00602AF0">
        <w:rPr>
          <w:rFonts w:cs="Arial"/>
          <w:color w:val="000000" w:themeColor="text1"/>
        </w:rPr>
        <w:t>I</w:t>
      </w:r>
      <w:r w:rsidR="6BDDAF37" w:rsidRPr="00117608">
        <w:rPr>
          <w:rFonts w:cs="Arial"/>
          <w:color w:val="000000" w:themeColor="text1"/>
        </w:rPr>
        <w:t>t is</w:t>
      </w:r>
      <w:r w:rsidR="00602AF0">
        <w:rPr>
          <w:rFonts w:cs="Arial"/>
          <w:color w:val="000000" w:themeColor="text1"/>
        </w:rPr>
        <w:t>, therefore,</w:t>
      </w:r>
      <w:r w:rsidR="6BDDAF37" w:rsidRPr="00117608">
        <w:rPr>
          <w:rFonts w:cs="Arial"/>
          <w:color w:val="000000" w:themeColor="text1"/>
        </w:rPr>
        <w:t xml:space="preserve"> critical that the </w:t>
      </w:r>
      <w:r w:rsidR="218B3FA6" w:rsidRPr="5D84ACAA">
        <w:rPr>
          <w:rFonts w:cs="Arial"/>
          <w:color w:val="000000" w:themeColor="text1"/>
        </w:rPr>
        <w:t>government</w:t>
      </w:r>
      <w:r w:rsidR="6BDDAF37" w:rsidRPr="00117608">
        <w:rPr>
          <w:rFonts w:cs="Arial"/>
          <w:color w:val="000000" w:themeColor="text1"/>
        </w:rPr>
        <w:t xml:space="preserve"> continue</w:t>
      </w:r>
      <w:r w:rsidR="522FB4F6" w:rsidRPr="5D84ACAA">
        <w:rPr>
          <w:rFonts w:cs="Arial"/>
          <w:color w:val="000000" w:themeColor="text1"/>
        </w:rPr>
        <w:t>s</w:t>
      </w:r>
      <w:r w:rsidR="6BDDAF37" w:rsidRPr="00117608">
        <w:rPr>
          <w:rFonts w:cs="Arial"/>
          <w:color w:val="000000" w:themeColor="text1"/>
        </w:rPr>
        <w:t xml:space="preserve"> to deepen money markets for government securities</w:t>
      </w:r>
      <w:r w:rsidR="2E57486B" w:rsidRPr="00117608">
        <w:rPr>
          <w:rFonts w:cs="Arial"/>
          <w:color w:val="000000" w:themeColor="text1"/>
        </w:rPr>
        <w:t xml:space="preserve">, thereby </w:t>
      </w:r>
      <w:r w:rsidR="3CA3B59C" w:rsidRPr="5D84ACAA">
        <w:rPr>
          <w:rFonts w:cs="Arial"/>
          <w:color w:val="000000" w:themeColor="text1"/>
        </w:rPr>
        <w:t>increasing</w:t>
      </w:r>
      <w:r w:rsidR="2E57486B" w:rsidRPr="00117608">
        <w:rPr>
          <w:rFonts w:cs="Arial"/>
          <w:color w:val="000000" w:themeColor="text1"/>
        </w:rPr>
        <w:t xml:space="preserve"> liquidity and predictability in the market, </w:t>
      </w:r>
      <w:r w:rsidR="3B0151DA" w:rsidRPr="00117608">
        <w:rPr>
          <w:rFonts w:cs="Arial"/>
          <w:color w:val="000000" w:themeColor="text1"/>
        </w:rPr>
        <w:t>whilst further creating an enabling policy and legislative environ</w:t>
      </w:r>
      <w:r w:rsidR="79212450">
        <w:rPr>
          <w:rFonts w:cs="Arial"/>
          <w:color w:val="000000" w:themeColor="text1"/>
        </w:rPr>
        <w:t>men</w:t>
      </w:r>
      <w:r w:rsidR="3B0151DA" w:rsidRPr="00117608">
        <w:rPr>
          <w:rFonts w:cs="Arial"/>
          <w:color w:val="000000" w:themeColor="text1"/>
        </w:rPr>
        <w:t>t for capital market development.</w:t>
      </w:r>
      <w:r w:rsidR="008F2BA4">
        <w:rPr>
          <w:rStyle w:val="FootnoteReference"/>
          <w:color w:val="000000" w:themeColor="text1"/>
        </w:rPr>
        <w:footnoteReference w:id="19"/>
      </w:r>
      <w:r w:rsidR="3B0151DA">
        <w:rPr>
          <w:rFonts w:cs="Arial"/>
          <w:color w:val="000000" w:themeColor="text1"/>
        </w:rPr>
        <w:t xml:space="preserve"> </w:t>
      </w:r>
    </w:p>
    <w:p w14:paraId="130C36A1" w14:textId="77777777" w:rsidR="001E7F56" w:rsidRPr="001E7F56" w:rsidRDefault="001E7F56" w:rsidP="001E7F56">
      <w:pPr>
        <w:pStyle w:val="ListParagraph"/>
        <w:ind w:left="0"/>
        <w:jc w:val="both"/>
        <w:rPr>
          <w:rFonts w:cs="Arial"/>
          <w:color w:val="FF0000"/>
        </w:rPr>
      </w:pPr>
    </w:p>
    <w:p w14:paraId="703915B0" w14:textId="0923579E" w:rsidR="003B35CA" w:rsidRPr="009944E2" w:rsidRDefault="3C2FBA91" w:rsidP="00A020C0">
      <w:pPr>
        <w:pStyle w:val="ListParagraph"/>
        <w:widowControl w:val="0"/>
        <w:numPr>
          <w:ilvl w:val="0"/>
          <w:numId w:val="29"/>
        </w:numPr>
        <w:ind w:left="0" w:firstLine="0"/>
        <w:jc w:val="both"/>
        <w:rPr>
          <w:rFonts w:cs="Arial"/>
          <w:color w:val="FF0000"/>
        </w:rPr>
      </w:pPr>
      <w:r w:rsidRPr="001E7F56">
        <w:rPr>
          <w:rFonts w:cs="Arial"/>
          <w:b/>
          <w:bCs/>
          <w:color w:val="000000" w:themeColor="text1"/>
        </w:rPr>
        <w:t xml:space="preserve">Government </w:t>
      </w:r>
      <w:r w:rsidR="27E8FB8A" w:rsidRPr="5D84ACAA">
        <w:rPr>
          <w:rFonts w:cs="Arial"/>
          <w:b/>
          <w:bCs/>
          <w:color w:val="000000" w:themeColor="text1"/>
        </w:rPr>
        <w:t>supports</w:t>
      </w:r>
      <w:r w:rsidR="6C6ABC47" w:rsidRPr="5D84ACAA">
        <w:rPr>
          <w:rFonts w:cs="Arial"/>
          <w:b/>
          <w:bCs/>
          <w:color w:val="000000" w:themeColor="text1"/>
        </w:rPr>
        <w:t xml:space="preserve"> </w:t>
      </w:r>
      <w:r w:rsidR="7FED40A6" w:rsidRPr="5D84ACAA">
        <w:rPr>
          <w:rFonts w:cs="Arial"/>
          <w:b/>
          <w:bCs/>
          <w:color w:val="000000" w:themeColor="text1"/>
        </w:rPr>
        <w:t>domestic capital market</w:t>
      </w:r>
      <w:r w:rsidR="6C6ABC47" w:rsidRPr="5D84ACAA">
        <w:rPr>
          <w:rFonts w:cs="Arial"/>
          <w:b/>
          <w:bCs/>
          <w:color w:val="000000" w:themeColor="text1"/>
        </w:rPr>
        <w:t xml:space="preserve"> development</w:t>
      </w:r>
      <w:r w:rsidR="7FED40A6" w:rsidRPr="5D84ACAA">
        <w:rPr>
          <w:rFonts w:cs="Arial"/>
          <w:b/>
          <w:bCs/>
          <w:color w:val="000000" w:themeColor="text1"/>
        </w:rPr>
        <w:t xml:space="preserve"> to </w:t>
      </w:r>
      <w:r w:rsidR="559BEFB6" w:rsidRPr="5D84ACAA">
        <w:rPr>
          <w:rFonts w:cs="Arial"/>
          <w:b/>
          <w:bCs/>
          <w:color w:val="000000" w:themeColor="text1"/>
        </w:rPr>
        <w:t xml:space="preserve">increase the share of lari denominated public debt. </w:t>
      </w:r>
      <w:r w:rsidR="00F57CA3">
        <w:rPr>
          <w:rFonts w:cs="Arial"/>
          <w:color w:val="000000" w:themeColor="text1"/>
        </w:rPr>
        <w:t xml:space="preserve">Between 2017 and 2019, the government began to gradually </w:t>
      </w:r>
      <w:r w:rsidR="001B10C6">
        <w:rPr>
          <w:rFonts w:cs="Arial"/>
          <w:color w:val="000000" w:themeColor="text1"/>
        </w:rPr>
        <w:t>reduce its reliance on</w:t>
      </w:r>
      <w:r w:rsidR="00F57CA3">
        <w:rPr>
          <w:rFonts w:cs="Arial"/>
          <w:color w:val="000000" w:themeColor="text1"/>
        </w:rPr>
        <w:t xml:space="preserve"> external debt. </w:t>
      </w:r>
      <w:r w:rsidR="0026409B">
        <w:rPr>
          <w:rFonts w:cs="Arial"/>
          <w:color w:val="000000" w:themeColor="text1"/>
        </w:rPr>
        <w:t xml:space="preserve">Domestic debt </w:t>
      </w:r>
      <w:r w:rsidR="003234BF">
        <w:rPr>
          <w:rFonts w:cs="Arial"/>
          <w:color w:val="000000" w:themeColor="text1"/>
        </w:rPr>
        <w:t xml:space="preserve">as a share of GDP </w:t>
      </w:r>
      <w:r w:rsidR="0026409B">
        <w:rPr>
          <w:rFonts w:cs="Arial"/>
          <w:color w:val="000000" w:themeColor="text1"/>
        </w:rPr>
        <w:t xml:space="preserve">increased from 7% in 2017 to 9.5% </w:t>
      </w:r>
      <w:r w:rsidR="003234BF">
        <w:rPr>
          <w:rFonts w:cs="Arial"/>
          <w:color w:val="000000" w:themeColor="text1"/>
        </w:rPr>
        <w:t>i</w:t>
      </w:r>
      <w:r w:rsidR="0026409B">
        <w:rPr>
          <w:rFonts w:cs="Arial"/>
          <w:color w:val="000000" w:themeColor="text1"/>
        </w:rPr>
        <w:t xml:space="preserve">n 2019, whereas external debt as a share of GDP declined from </w:t>
      </w:r>
      <w:r w:rsidR="00C94D5A">
        <w:rPr>
          <w:rFonts w:cs="Arial"/>
          <w:color w:val="000000" w:themeColor="text1"/>
        </w:rPr>
        <w:t>32.5% to 31.5%</w:t>
      </w:r>
      <w:r w:rsidR="003234BF">
        <w:rPr>
          <w:rFonts w:cs="Arial"/>
          <w:color w:val="000000" w:themeColor="text1"/>
        </w:rPr>
        <w:t xml:space="preserve"> in the same period</w:t>
      </w:r>
      <w:r w:rsidR="00C94D5A">
        <w:rPr>
          <w:rFonts w:cs="Arial"/>
          <w:color w:val="000000" w:themeColor="text1"/>
        </w:rPr>
        <w:t xml:space="preserve">. Likewise, domestic debt as a share of total government debt has increased from 17.8% in 2017 to 23.5% in 2019. </w:t>
      </w:r>
      <w:r w:rsidR="000E13BF">
        <w:rPr>
          <w:rFonts w:cs="Arial"/>
          <w:color w:val="000000" w:themeColor="text1"/>
        </w:rPr>
        <w:t>While the COVID-19 pandemic</w:t>
      </w:r>
      <w:r w:rsidR="00B72ACC">
        <w:rPr>
          <w:rFonts w:cs="Arial"/>
          <w:color w:val="000000" w:themeColor="text1"/>
        </w:rPr>
        <w:t xml:space="preserve"> partly</w:t>
      </w:r>
      <w:r w:rsidR="000E13BF">
        <w:rPr>
          <w:rFonts w:cs="Arial"/>
          <w:color w:val="000000" w:themeColor="text1"/>
        </w:rPr>
        <w:t xml:space="preserve"> disrupted this </w:t>
      </w:r>
      <w:r w:rsidR="00B72ACC">
        <w:rPr>
          <w:rFonts w:cs="Arial"/>
          <w:color w:val="000000" w:themeColor="text1"/>
        </w:rPr>
        <w:t>balance</w:t>
      </w:r>
      <w:r w:rsidR="00A74B1B">
        <w:rPr>
          <w:rFonts w:cs="Arial"/>
          <w:color w:val="000000" w:themeColor="text1"/>
        </w:rPr>
        <w:t>—</w:t>
      </w:r>
      <w:r w:rsidR="00B72ACC">
        <w:rPr>
          <w:rFonts w:cs="Arial"/>
          <w:color w:val="000000" w:themeColor="text1"/>
        </w:rPr>
        <w:t xml:space="preserve">with the share of domestic debt as a share of total government debt declining from </w:t>
      </w:r>
      <w:r w:rsidR="00774F5D">
        <w:rPr>
          <w:rFonts w:cs="Arial"/>
          <w:color w:val="000000" w:themeColor="text1"/>
        </w:rPr>
        <w:t>23.5% in 2019 to 21.9% in 2020</w:t>
      </w:r>
      <w:r w:rsidR="00A74B1B">
        <w:rPr>
          <w:rFonts w:cs="Arial"/>
          <w:color w:val="000000" w:themeColor="text1"/>
        </w:rPr>
        <w:t>—</w:t>
      </w:r>
      <w:r w:rsidR="00CF1A1B">
        <w:rPr>
          <w:rFonts w:cs="Arial"/>
          <w:color w:val="000000" w:themeColor="text1"/>
        </w:rPr>
        <w:t>government</w:t>
      </w:r>
      <w:r w:rsidR="00A74B1B">
        <w:rPr>
          <w:rFonts w:cs="Arial"/>
          <w:color w:val="000000" w:themeColor="text1"/>
        </w:rPr>
        <w:t xml:space="preserve"> </w:t>
      </w:r>
      <w:r w:rsidR="00A020C0">
        <w:rPr>
          <w:rFonts w:cs="Arial"/>
          <w:color w:val="000000" w:themeColor="text1"/>
        </w:rPr>
        <w:t>remain</w:t>
      </w:r>
      <w:r w:rsidR="0036306F">
        <w:rPr>
          <w:rFonts w:cs="Arial"/>
          <w:color w:val="000000" w:themeColor="text1"/>
        </w:rPr>
        <w:t>s</w:t>
      </w:r>
      <w:r w:rsidR="00A020C0">
        <w:rPr>
          <w:rFonts w:cs="Arial"/>
          <w:color w:val="000000" w:themeColor="text1"/>
        </w:rPr>
        <w:t xml:space="preserve"> committed to this policy objective. In the period 2020-2024</w:t>
      </w:r>
      <w:r w:rsidR="00FA0414">
        <w:rPr>
          <w:rFonts w:cs="Arial"/>
          <w:color w:val="000000" w:themeColor="text1"/>
        </w:rPr>
        <w:t>,</w:t>
      </w:r>
      <w:r w:rsidR="00A020C0">
        <w:rPr>
          <w:rFonts w:cs="Arial"/>
          <w:color w:val="000000" w:themeColor="text1"/>
        </w:rPr>
        <w:t xml:space="preserve"> the</w:t>
      </w:r>
      <w:r w:rsidR="00FA0414">
        <w:rPr>
          <w:rFonts w:cs="Arial"/>
          <w:color w:val="000000" w:themeColor="text1"/>
        </w:rPr>
        <w:t xml:space="preserve"> </w:t>
      </w:r>
      <w:r w:rsidR="00A020C0">
        <w:rPr>
          <w:rFonts w:cs="Arial"/>
          <w:color w:val="000000" w:themeColor="text1"/>
        </w:rPr>
        <w:t>authorities</w:t>
      </w:r>
      <w:r w:rsidR="00FA0414">
        <w:rPr>
          <w:rFonts w:cs="Arial"/>
          <w:color w:val="000000" w:themeColor="text1"/>
        </w:rPr>
        <w:t xml:space="preserve"> plans </w:t>
      </w:r>
      <w:r w:rsidR="002914F1">
        <w:rPr>
          <w:rFonts w:cs="Arial"/>
          <w:color w:val="000000" w:themeColor="text1"/>
        </w:rPr>
        <w:t xml:space="preserve">to gradually increase domestic debt as a share of </w:t>
      </w:r>
      <w:r w:rsidR="00103334">
        <w:rPr>
          <w:rFonts w:cs="Arial"/>
          <w:color w:val="000000" w:themeColor="text1"/>
        </w:rPr>
        <w:t>government debt from 21.9% to 32.0%.</w:t>
      </w:r>
      <w:r w:rsidR="00FA0414">
        <w:rPr>
          <w:rFonts w:cs="Arial"/>
          <w:color w:val="000000" w:themeColor="text1"/>
        </w:rPr>
        <w:t xml:space="preserve"> </w:t>
      </w:r>
      <w:r w:rsidR="00E94E72">
        <w:rPr>
          <w:rFonts w:cs="Arial"/>
          <w:color w:val="000000" w:themeColor="text1"/>
        </w:rPr>
        <w:t>T</w:t>
      </w:r>
      <w:r w:rsidRPr="001E7F56">
        <w:rPr>
          <w:rFonts w:cs="Arial"/>
          <w:color w:val="000000" w:themeColor="text1"/>
        </w:rPr>
        <w:t xml:space="preserve">he </w:t>
      </w:r>
      <w:r w:rsidR="00E45E35">
        <w:rPr>
          <w:rFonts w:cs="Arial"/>
          <w:color w:val="000000" w:themeColor="text1"/>
        </w:rPr>
        <w:t>p</w:t>
      </w:r>
      <w:r w:rsidR="001A793D" w:rsidRPr="001E7F56">
        <w:rPr>
          <w:rFonts w:cs="Arial"/>
          <w:color w:val="000000" w:themeColor="text1"/>
        </w:rPr>
        <w:t>rogram</w:t>
      </w:r>
      <w:r w:rsidRPr="001E7F56">
        <w:rPr>
          <w:rFonts w:cs="Arial"/>
          <w:color w:val="000000" w:themeColor="text1"/>
        </w:rPr>
        <w:t xml:space="preserve"> promotes </w:t>
      </w:r>
      <w:r w:rsidR="00E94E72">
        <w:rPr>
          <w:rFonts w:cs="Arial"/>
          <w:color w:val="000000" w:themeColor="text1"/>
        </w:rPr>
        <w:t xml:space="preserve">supports the government in this </w:t>
      </w:r>
      <w:r w:rsidR="00264CE7">
        <w:rPr>
          <w:rFonts w:cs="Arial"/>
          <w:color w:val="000000" w:themeColor="text1"/>
        </w:rPr>
        <w:t>endea</w:t>
      </w:r>
      <w:r w:rsidR="0036306F">
        <w:rPr>
          <w:rFonts w:cs="Arial"/>
          <w:color w:val="000000" w:themeColor="text1"/>
        </w:rPr>
        <w:t>v</w:t>
      </w:r>
      <w:r w:rsidR="00264CE7">
        <w:rPr>
          <w:rFonts w:cs="Arial"/>
          <w:color w:val="000000" w:themeColor="text1"/>
        </w:rPr>
        <w:t>our</w:t>
      </w:r>
      <w:r w:rsidR="00E94E72">
        <w:rPr>
          <w:rFonts w:cs="Arial"/>
          <w:color w:val="000000" w:themeColor="text1"/>
        </w:rPr>
        <w:t xml:space="preserve"> </w:t>
      </w:r>
      <w:r w:rsidR="00264CE7">
        <w:rPr>
          <w:rFonts w:cs="Arial"/>
          <w:color w:val="000000" w:themeColor="text1"/>
        </w:rPr>
        <w:t xml:space="preserve">by promoting </w:t>
      </w:r>
      <w:r w:rsidRPr="001E7F56">
        <w:rPr>
          <w:rFonts w:cs="Arial"/>
          <w:color w:val="000000" w:themeColor="text1"/>
        </w:rPr>
        <w:t>institutional reforms which help further deepen the domestic debt market for government securities.</w:t>
      </w:r>
      <w:r w:rsidR="001A793D">
        <w:rPr>
          <w:rStyle w:val="FootnoteReference"/>
          <w:color w:val="000000" w:themeColor="text1"/>
        </w:rPr>
        <w:footnoteReference w:id="20"/>
      </w:r>
      <w:r w:rsidRPr="001E7F56">
        <w:rPr>
          <w:rFonts w:cs="Arial"/>
          <w:color w:val="000000" w:themeColor="text1"/>
        </w:rPr>
        <w:t xml:space="preserve"> This will help minimize public exposure to refinancing and currency risks </w:t>
      </w:r>
      <w:r w:rsidR="7EA406A5" w:rsidRPr="5D84ACAA">
        <w:rPr>
          <w:rFonts w:cs="Arial"/>
          <w:color w:val="000000" w:themeColor="text1"/>
        </w:rPr>
        <w:t>that</w:t>
      </w:r>
      <w:r w:rsidRPr="001E7F56">
        <w:rPr>
          <w:rFonts w:cs="Arial"/>
          <w:color w:val="000000" w:themeColor="text1"/>
        </w:rPr>
        <w:t xml:space="preserve"> threaten macroeconomic stability</w:t>
      </w:r>
      <w:r w:rsidR="001A793D" w:rsidRPr="5D84ACAA">
        <w:rPr>
          <w:rFonts w:cs="Arial"/>
          <w:color w:val="000000" w:themeColor="text1"/>
        </w:rPr>
        <w:t>, an essential precondition for economic recovery</w:t>
      </w:r>
      <w:r w:rsidRPr="001E7F56">
        <w:rPr>
          <w:rFonts w:cs="Arial"/>
          <w:color w:val="000000" w:themeColor="text1"/>
        </w:rPr>
        <w:t>.</w:t>
      </w:r>
      <w:r w:rsidR="00E54DB7">
        <w:rPr>
          <w:rStyle w:val="FootnoteReference"/>
          <w:color w:val="000000" w:themeColor="text1"/>
        </w:rPr>
        <w:footnoteReference w:id="21"/>
      </w:r>
      <w:r w:rsidRPr="001E7F56">
        <w:rPr>
          <w:rFonts w:cs="Arial"/>
          <w:color w:val="000000" w:themeColor="text1"/>
        </w:rPr>
        <w:t xml:space="preserve"> To this end, the proposed program supports policy actions which further </w:t>
      </w:r>
      <w:r w:rsidR="428D33AD" w:rsidRPr="5D84ACAA">
        <w:rPr>
          <w:rFonts w:cs="Arial"/>
          <w:color w:val="000000" w:themeColor="text1"/>
        </w:rPr>
        <w:t>strengthen</w:t>
      </w:r>
      <w:r w:rsidRPr="001E7F56">
        <w:rPr>
          <w:rFonts w:cs="Arial"/>
          <w:color w:val="000000" w:themeColor="text1"/>
        </w:rPr>
        <w:t xml:space="preserve"> money market infrastructure for government securities on the one hand, while simultaneously supporting the development of capital markets. </w:t>
      </w:r>
      <w:r w:rsidR="001A793D" w:rsidRPr="5D84ACAA">
        <w:rPr>
          <w:rFonts w:cs="Arial"/>
          <w:color w:val="000000" w:themeColor="text1"/>
        </w:rPr>
        <w:t xml:space="preserve">Deepening the market for treasury securities is an essential </w:t>
      </w:r>
      <w:r w:rsidR="001A793D" w:rsidRPr="5D84ACAA">
        <w:rPr>
          <w:rFonts w:cs="Arial"/>
          <w:color w:val="000000" w:themeColor="text1"/>
        </w:rPr>
        <w:lastRenderedPageBreak/>
        <w:t>precondition for the good functioning of other components of the capital market, as treasury yield curve plays an important role in the pricing of the other securities (footnote 1</w:t>
      </w:r>
      <w:r w:rsidR="00AE1F86">
        <w:rPr>
          <w:rFonts w:cs="Arial"/>
          <w:color w:val="000000" w:themeColor="text1"/>
        </w:rPr>
        <w:t>7</w:t>
      </w:r>
      <w:r w:rsidR="001A793D" w:rsidRPr="5D84ACAA">
        <w:rPr>
          <w:rFonts w:cs="Arial"/>
          <w:color w:val="000000" w:themeColor="text1"/>
        </w:rPr>
        <w:t>).</w:t>
      </w:r>
      <w:r w:rsidR="001A793D" w:rsidRPr="5D84ACAA">
        <w:rPr>
          <w:rFonts w:cs="Arial"/>
          <w:color w:val="000000" w:themeColor="text1"/>
          <w:vertAlign w:val="superscript"/>
        </w:rPr>
        <w:t xml:space="preserve"> </w:t>
      </w:r>
      <w:r w:rsidR="00D47FE0">
        <w:rPr>
          <w:rFonts w:cs="Arial"/>
          <w:color w:val="000000" w:themeColor="text1"/>
        </w:rPr>
        <w:t>The</w:t>
      </w:r>
      <w:r w:rsidR="000E7622">
        <w:rPr>
          <w:rFonts w:cs="Arial"/>
          <w:color w:val="000000" w:themeColor="text1"/>
        </w:rPr>
        <w:t xml:space="preserve"> p</w:t>
      </w:r>
      <w:r w:rsidR="001A793D" w:rsidRPr="001E7F56">
        <w:rPr>
          <w:rFonts w:cs="Arial"/>
          <w:color w:val="000000" w:themeColor="text1"/>
        </w:rPr>
        <w:t>rogram</w:t>
      </w:r>
      <w:r w:rsidRPr="001E7F56">
        <w:rPr>
          <w:rFonts w:cs="Arial"/>
          <w:color w:val="000000" w:themeColor="text1"/>
        </w:rPr>
        <w:t xml:space="preserve"> supports continued and enhanced collaboration between MOF and the NBG to expand issuance of benchmark bonds, which contribute to higher liquidity, transparency</w:t>
      </w:r>
      <w:r w:rsidR="08302903" w:rsidRPr="5D84ACAA">
        <w:rPr>
          <w:rFonts w:cs="Arial"/>
          <w:color w:val="000000" w:themeColor="text1"/>
        </w:rPr>
        <w:t>,</w:t>
      </w:r>
      <w:r w:rsidRPr="001E7F56">
        <w:rPr>
          <w:rFonts w:cs="Arial"/>
          <w:color w:val="000000" w:themeColor="text1"/>
        </w:rPr>
        <w:t xml:space="preserve"> and predictability of the market. This will increase investors’ interest towards domestic government securities</w:t>
      </w:r>
      <w:r w:rsidR="001A793D" w:rsidRPr="5D84ACAA">
        <w:rPr>
          <w:rFonts w:cs="Arial"/>
          <w:color w:val="000000" w:themeColor="text1"/>
        </w:rPr>
        <w:t>, and correspondingly expand the investor base</w:t>
      </w:r>
      <w:r w:rsidRPr="001E7F56">
        <w:rPr>
          <w:rFonts w:cs="Arial"/>
          <w:color w:val="000000" w:themeColor="text1"/>
        </w:rPr>
        <w:t xml:space="preserve">. In turn, </w:t>
      </w:r>
      <w:r w:rsidR="589DA9AD" w:rsidRPr="5D84ACAA">
        <w:rPr>
          <w:rFonts w:cs="Arial"/>
          <w:color w:val="000000" w:themeColor="text1"/>
        </w:rPr>
        <w:t xml:space="preserve">the </w:t>
      </w:r>
      <w:r w:rsidRPr="001E7F56">
        <w:rPr>
          <w:rFonts w:cs="Arial"/>
          <w:color w:val="000000" w:themeColor="text1"/>
        </w:rPr>
        <w:t>development of capital market</w:t>
      </w:r>
      <w:r w:rsidR="589DA9AD" w:rsidRPr="5D84ACAA">
        <w:rPr>
          <w:rFonts w:cs="Arial"/>
          <w:color w:val="000000" w:themeColor="text1"/>
        </w:rPr>
        <w:t>s</w:t>
      </w:r>
      <w:r w:rsidR="00331689">
        <w:rPr>
          <w:rFonts w:cs="Arial"/>
          <w:color w:val="000000" w:themeColor="text1"/>
        </w:rPr>
        <w:t xml:space="preserve"> will</w:t>
      </w:r>
      <w:r w:rsidRPr="001E7F56">
        <w:rPr>
          <w:rFonts w:cs="Arial"/>
          <w:color w:val="000000" w:themeColor="text1"/>
        </w:rPr>
        <w:t xml:space="preserve"> accelerate the </w:t>
      </w:r>
      <w:r w:rsidR="6AE628CC" w:rsidRPr="5D84ACAA">
        <w:rPr>
          <w:rFonts w:cs="Arial"/>
          <w:color w:val="000000" w:themeColor="text1"/>
        </w:rPr>
        <w:t>de-dollarization</w:t>
      </w:r>
      <w:r w:rsidRPr="001E7F56">
        <w:rPr>
          <w:rFonts w:cs="Arial"/>
          <w:color w:val="000000" w:themeColor="text1"/>
        </w:rPr>
        <w:t xml:space="preserve"> process and improve</w:t>
      </w:r>
      <w:r w:rsidR="00331689">
        <w:rPr>
          <w:rFonts w:cs="Arial"/>
          <w:color w:val="000000" w:themeColor="text1"/>
        </w:rPr>
        <w:t xml:space="preserve"> </w:t>
      </w:r>
      <w:r w:rsidRPr="001E7F56">
        <w:rPr>
          <w:rFonts w:cs="Arial"/>
          <w:color w:val="000000" w:themeColor="text1"/>
        </w:rPr>
        <w:t>monetary policy transmission on aggregate demand and, eventually, on price level.</w:t>
      </w:r>
      <w:r w:rsidR="00870D34">
        <w:rPr>
          <w:rStyle w:val="FootnoteReference"/>
          <w:color w:val="000000" w:themeColor="text1"/>
        </w:rPr>
        <w:footnoteReference w:id="22"/>
      </w:r>
      <w:r w:rsidRPr="001E7F56">
        <w:rPr>
          <w:rFonts w:cs="Arial"/>
          <w:color w:val="000000" w:themeColor="text1"/>
        </w:rPr>
        <w:t xml:space="preserve"> More developed capital market</w:t>
      </w:r>
      <w:r w:rsidR="579B78DC" w:rsidRPr="5D84ACAA">
        <w:rPr>
          <w:rFonts w:cs="Arial"/>
          <w:color w:val="000000" w:themeColor="text1"/>
        </w:rPr>
        <w:t xml:space="preserve"> infrastructure</w:t>
      </w:r>
      <w:r w:rsidRPr="001E7F56">
        <w:rPr>
          <w:rFonts w:cs="Arial"/>
          <w:color w:val="000000" w:themeColor="text1"/>
        </w:rPr>
        <w:t xml:space="preserve"> will also </w:t>
      </w:r>
      <w:r w:rsidR="3F7503F9" w:rsidRPr="5D84ACAA">
        <w:rPr>
          <w:rFonts w:cs="Arial"/>
          <w:color w:val="000000" w:themeColor="text1"/>
        </w:rPr>
        <w:t xml:space="preserve">help </w:t>
      </w:r>
      <w:r w:rsidRPr="001E7F56">
        <w:rPr>
          <w:rFonts w:cs="Arial"/>
          <w:color w:val="000000" w:themeColor="text1"/>
        </w:rPr>
        <w:t xml:space="preserve">deepen the secondary market for government securities, creating additional </w:t>
      </w:r>
      <w:r w:rsidR="3F7503F9" w:rsidRPr="5D84ACAA">
        <w:rPr>
          <w:rFonts w:cs="Arial"/>
          <w:color w:val="000000" w:themeColor="text1"/>
        </w:rPr>
        <w:t>lari</w:t>
      </w:r>
      <w:r w:rsidRPr="001E7F56">
        <w:rPr>
          <w:rFonts w:cs="Arial"/>
          <w:color w:val="000000" w:themeColor="text1"/>
        </w:rPr>
        <w:t xml:space="preserve"> denominated financial </w:t>
      </w:r>
      <w:r w:rsidR="001A793D" w:rsidRPr="5D84ACAA">
        <w:rPr>
          <w:rFonts w:cs="Arial"/>
          <w:color w:val="000000" w:themeColor="text1"/>
        </w:rPr>
        <w:t>resources available for market participants</w:t>
      </w:r>
      <w:r w:rsidRPr="001E7F56">
        <w:rPr>
          <w:rFonts w:cs="Arial"/>
          <w:color w:val="000000" w:themeColor="text1"/>
        </w:rPr>
        <w:t>, including the public sector</w:t>
      </w:r>
      <w:r w:rsidR="004009B8">
        <w:rPr>
          <w:rFonts w:cs="Arial"/>
          <w:color w:val="000000" w:themeColor="text1"/>
        </w:rPr>
        <w:t xml:space="preserve"> (footnote 17)</w:t>
      </w:r>
      <w:r w:rsidR="0171BFB7" w:rsidRPr="001E7F56">
        <w:rPr>
          <w:rFonts w:cs="Arial"/>
          <w:color w:val="000000" w:themeColor="text1"/>
        </w:rPr>
        <w:t>.</w:t>
      </w:r>
    </w:p>
    <w:p w14:paraId="0156203D" w14:textId="4F5D0D4C" w:rsidR="009944E2" w:rsidRDefault="009944E2" w:rsidP="00D618AE">
      <w:pPr>
        <w:pStyle w:val="ListParagraph"/>
        <w:ind w:left="0"/>
        <w:jc w:val="both"/>
        <w:rPr>
          <w:rFonts w:cs="Arial"/>
          <w:color w:val="000000" w:themeColor="text1"/>
        </w:rPr>
      </w:pPr>
    </w:p>
    <w:p w14:paraId="307FCC33" w14:textId="0567CF57" w:rsidR="009944E2" w:rsidRDefault="009944E2" w:rsidP="001E7F56">
      <w:pPr>
        <w:pStyle w:val="ListParagraph"/>
        <w:numPr>
          <w:ilvl w:val="0"/>
          <w:numId w:val="29"/>
        </w:numPr>
        <w:ind w:left="0" w:firstLine="0"/>
        <w:jc w:val="both"/>
        <w:rPr>
          <w:rFonts w:cs="Arial"/>
          <w:color w:val="000000" w:themeColor="text1"/>
        </w:rPr>
      </w:pPr>
      <w:r>
        <w:rPr>
          <w:rFonts w:cs="Arial"/>
          <w:b/>
          <w:bCs/>
          <w:color w:val="000000" w:themeColor="text1"/>
        </w:rPr>
        <w:t xml:space="preserve">Contingent liabilities threaten fiscal stability and debt sustainability in the short to medium term. </w:t>
      </w:r>
      <w:r w:rsidRPr="001E7F56">
        <w:rPr>
          <w:rFonts w:cs="Arial"/>
          <w:color w:val="000000" w:themeColor="text1"/>
        </w:rPr>
        <w:t>Although Georgia’s public sector balance sheet is in a relatively healthy shape</w:t>
      </w:r>
      <w:r w:rsidRPr="0FBA52EF">
        <w:rPr>
          <w:rFonts w:cs="Arial"/>
          <w:color w:val="000000" w:themeColor="text1"/>
        </w:rPr>
        <w:t>,</w:t>
      </w:r>
      <w:r>
        <w:rPr>
          <w:rStyle w:val="FootnoteReference"/>
          <w:color w:val="000000" w:themeColor="text1"/>
        </w:rPr>
        <w:footnoteReference w:id="23"/>
      </w:r>
      <w:r w:rsidRPr="001E7F56">
        <w:rPr>
          <w:rFonts w:cs="Arial"/>
          <w:color w:val="000000" w:themeColor="text1"/>
        </w:rPr>
        <w:t xml:space="preserve"> </w:t>
      </w:r>
      <w:r w:rsidRPr="0FBA52EF">
        <w:rPr>
          <w:rFonts w:cs="Arial"/>
          <w:color w:val="000000" w:themeColor="text1"/>
        </w:rPr>
        <w:t xml:space="preserve">increased </w:t>
      </w:r>
      <w:r w:rsidRPr="001E7F56">
        <w:rPr>
          <w:rFonts w:cs="Arial"/>
          <w:color w:val="000000" w:themeColor="text1"/>
        </w:rPr>
        <w:t xml:space="preserve">exposure to fiscal risks stemming from </w:t>
      </w:r>
      <w:r w:rsidRPr="0FBA52EF">
        <w:rPr>
          <w:rFonts w:cs="Arial"/>
          <w:color w:val="000000" w:themeColor="text1"/>
        </w:rPr>
        <w:t xml:space="preserve">power purchase </w:t>
      </w:r>
      <w:r w:rsidRPr="001E7F56">
        <w:rPr>
          <w:rFonts w:cs="Arial"/>
          <w:color w:val="000000" w:themeColor="text1"/>
        </w:rPr>
        <w:t>agreements</w:t>
      </w:r>
      <w:r w:rsidRPr="0FBA52EF">
        <w:rPr>
          <w:rFonts w:cs="Arial"/>
          <w:color w:val="000000" w:themeColor="text1"/>
        </w:rPr>
        <w:t xml:space="preserve"> (PPA)</w:t>
      </w:r>
      <w:r w:rsidRPr="001E7F56">
        <w:rPr>
          <w:rFonts w:cs="Arial"/>
          <w:color w:val="000000" w:themeColor="text1"/>
        </w:rPr>
        <w:t xml:space="preserve"> and </w:t>
      </w:r>
      <w:r w:rsidRPr="0FBA52EF">
        <w:rPr>
          <w:rFonts w:cs="Arial"/>
          <w:color w:val="000000" w:themeColor="text1"/>
        </w:rPr>
        <w:t>state-owned enterprises (</w:t>
      </w:r>
      <w:r w:rsidRPr="001E7F56">
        <w:rPr>
          <w:rFonts w:cs="Arial"/>
          <w:color w:val="000000" w:themeColor="text1"/>
        </w:rPr>
        <w:t>SOE</w:t>
      </w:r>
      <w:r w:rsidRPr="0FBA52EF">
        <w:rPr>
          <w:rFonts w:cs="Arial"/>
          <w:color w:val="000000" w:themeColor="text1"/>
        </w:rPr>
        <w:t>)</w:t>
      </w:r>
      <w:r w:rsidRPr="001E7F56">
        <w:rPr>
          <w:rFonts w:cs="Arial"/>
          <w:color w:val="000000" w:themeColor="text1"/>
        </w:rPr>
        <w:t xml:space="preserve"> threaten fiscal sustainability in the short</w:t>
      </w:r>
      <w:r w:rsidRPr="0FBA52EF">
        <w:rPr>
          <w:rFonts w:cs="Arial"/>
          <w:color w:val="000000" w:themeColor="text1"/>
        </w:rPr>
        <w:t>-</w:t>
      </w:r>
      <w:r w:rsidRPr="001E7F56">
        <w:rPr>
          <w:rFonts w:cs="Arial"/>
          <w:color w:val="000000" w:themeColor="text1"/>
        </w:rPr>
        <w:t xml:space="preserve"> to medium</w:t>
      </w:r>
      <w:r w:rsidRPr="0FBA52EF">
        <w:rPr>
          <w:rFonts w:cs="Arial"/>
          <w:color w:val="000000" w:themeColor="text1"/>
        </w:rPr>
        <w:t>-</w:t>
      </w:r>
      <w:r w:rsidRPr="001E7F56">
        <w:rPr>
          <w:rFonts w:cs="Arial"/>
          <w:color w:val="000000" w:themeColor="text1"/>
        </w:rPr>
        <w:t>term</w:t>
      </w:r>
      <w:r w:rsidR="00CE64E4">
        <w:rPr>
          <w:rFonts w:cs="Arial"/>
          <w:color w:val="000000" w:themeColor="text1"/>
        </w:rPr>
        <w:t>,</w:t>
      </w:r>
      <w:r w:rsidRPr="0FBA52EF">
        <w:rPr>
          <w:rFonts w:cs="Arial"/>
          <w:color w:val="000000" w:themeColor="text1"/>
        </w:rPr>
        <w:t xml:space="preserve"> amidst the crisis</w:t>
      </w:r>
      <w:r w:rsidRPr="001E7F56">
        <w:rPr>
          <w:rFonts w:cs="Arial"/>
          <w:color w:val="000000" w:themeColor="text1"/>
        </w:rPr>
        <w:t>.</w:t>
      </w:r>
      <w:r>
        <w:rPr>
          <w:rStyle w:val="FootnoteReference"/>
          <w:color w:val="000000" w:themeColor="text1"/>
        </w:rPr>
        <w:footnoteReference w:id="24"/>
      </w:r>
      <w:r w:rsidRPr="001E7F56">
        <w:rPr>
          <w:rFonts w:cs="Arial"/>
          <w:color w:val="000000" w:themeColor="text1"/>
        </w:rPr>
        <w:t xml:space="preserve"> The large and risky SOE sector, with high exposure to foreign exchange risks, impose a net draw on the budget, with imminent SOE financing needs of around 18% of GDP</w:t>
      </w:r>
      <w:r>
        <w:rPr>
          <w:rStyle w:val="FootnoteReference"/>
          <w:color w:val="000000" w:themeColor="text1"/>
        </w:rPr>
        <w:footnoteReference w:id="25"/>
      </w:r>
      <w:r w:rsidRPr="0FBA52EF">
        <w:rPr>
          <w:rFonts w:cs="Arial"/>
          <w:color w:val="000000" w:themeColor="text1"/>
        </w:rPr>
        <w:t xml:space="preserve"> </w:t>
      </w:r>
      <w:r w:rsidRPr="001E7F56">
        <w:rPr>
          <w:rFonts w:cs="Arial"/>
          <w:color w:val="000000" w:themeColor="text1"/>
        </w:rPr>
        <w:t>posing a significant challenge to fiscal stability which underpin economic recovery.</w:t>
      </w:r>
      <w:r>
        <w:rPr>
          <w:rStyle w:val="FootnoteReference"/>
          <w:color w:val="000000" w:themeColor="text1"/>
        </w:rPr>
        <w:footnoteReference w:id="26"/>
      </w:r>
      <w:r w:rsidRPr="001E7F56">
        <w:rPr>
          <w:rFonts w:cs="Arial"/>
          <w:color w:val="000000" w:themeColor="text1"/>
        </w:rPr>
        <w:t xml:space="preserve"> A reclassification of SOEs confi</w:t>
      </w:r>
      <w:r w:rsidRPr="0FBA52EF">
        <w:rPr>
          <w:rFonts w:cs="Arial"/>
          <w:color w:val="000000" w:themeColor="text1"/>
        </w:rPr>
        <w:t>rmed</w:t>
      </w:r>
      <w:r w:rsidRPr="001E7F56">
        <w:rPr>
          <w:rFonts w:cs="Arial"/>
          <w:color w:val="000000" w:themeColor="text1"/>
        </w:rPr>
        <w:t xml:space="preserve"> 196 SOEs within the general government sector</w:t>
      </w:r>
      <w:r w:rsidRPr="0FBA52EF">
        <w:rPr>
          <w:rFonts w:cs="Arial"/>
          <w:color w:val="000000" w:themeColor="text1"/>
        </w:rPr>
        <w:t>—</w:t>
      </w:r>
      <w:r w:rsidRPr="001E7F56">
        <w:rPr>
          <w:rFonts w:cs="Arial"/>
          <w:color w:val="000000" w:themeColor="text1"/>
        </w:rPr>
        <w:t>highlighting t</w:t>
      </w:r>
      <w:r w:rsidRPr="0FBA52EF">
        <w:rPr>
          <w:rFonts w:cs="Arial"/>
          <w:color w:val="000000" w:themeColor="text1"/>
        </w:rPr>
        <w:t>h</w:t>
      </w:r>
      <w:r w:rsidRPr="001E7F56">
        <w:rPr>
          <w:rFonts w:cs="Arial"/>
          <w:color w:val="000000" w:themeColor="text1"/>
        </w:rPr>
        <w:t>e dependence of many SOEs on government funding as well as the role of government in management decisions. Further, from the six largest SOEs, only one generates sufficient operating profits to cover its capital costs while all others make significant losses. Overall, the SOE sector has drawn 6% of GDP from the government budget between 2015 and 2020</w:t>
      </w:r>
      <w:r>
        <w:rPr>
          <w:rFonts w:cs="Arial"/>
          <w:color w:val="000000" w:themeColor="text1"/>
        </w:rPr>
        <w:t>, cumulatively</w:t>
      </w:r>
      <w:r w:rsidRPr="001E7F56">
        <w:rPr>
          <w:rFonts w:cs="Arial"/>
          <w:color w:val="000000" w:themeColor="text1"/>
        </w:rPr>
        <w:t>. By IMF estimates, a 30% depreciation of the lari</w:t>
      </w:r>
      <w:r>
        <w:rPr>
          <w:rFonts w:cs="Arial"/>
          <w:color w:val="000000" w:themeColor="text1"/>
        </w:rPr>
        <w:t xml:space="preserve"> from August 2020 rate</w:t>
      </w:r>
      <w:r w:rsidRPr="001E7F56">
        <w:rPr>
          <w:rFonts w:cs="Arial"/>
          <w:color w:val="000000" w:themeColor="text1"/>
        </w:rPr>
        <w:t xml:space="preserve"> would reduce </w:t>
      </w:r>
      <w:r w:rsidRPr="0FBA52EF">
        <w:rPr>
          <w:rFonts w:cs="Arial"/>
          <w:color w:val="000000" w:themeColor="text1"/>
        </w:rPr>
        <w:t xml:space="preserve">the </w:t>
      </w:r>
      <w:r w:rsidRPr="001E7F56">
        <w:rPr>
          <w:rFonts w:cs="Arial"/>
          <w:color w:val="000000" w:themeColor="text1"/>
        </w:rPr>
        <w:t xml:space="preserve">net worth of the largest SOEs by about 4% of GDP, severely impacting the health of the government’s </w:t>
      </w:r>
      <w:r>
        <w:rPr>
          <w:rFonts w:cs="Arial"/>
          <w:color w:val="000000" w:themeColor="text1"/>
        </w:rPr>
        <w:t xml:space="preserve">fiscal position (footnote </w:t>
      </w:r>
      <w:r w:rsidR="007E2E93">
        <w:rPr>
          <w:rFonts w:cs="Arial"/>
          <w:color w:val="000000" w:themeColor="text1"/>
        </w:rPr>
        <w:t>2</w:t>
      </w:r>
      <w:r w:rsidR="00DC3E3E">
        <w:rPr>
          <w:rFonts w:cs="Arial"/>
          <w:color w:val="000000" w:themeColor="text1"/>
        </w:rPr>
        <w:t>3</w:t>
      </w:r>
      <w:r>
        <w:rPr>
          <w:rFonts w:cs="Arial"/>
          <w:color w:val="000000" w:themeColor="text1"/>
        </w:rPr>
        <w:t>)</w:t>
      </w:r>
      <w:r w:rsidRPr="001E7F56">
        <w:rPr>
          <w:rFonts w:cs="Arial"/>
          <w:color w:val="000000" w:themeColor="text1"/>
        </w:rPr>
        <w:t>. A number of major SOEs are also exposed to significant foreign exchange mismatches on their assets and liabilities.</w:t>
      </w:r>
      <w:r>
        <w:rPr>
          <w:rStyle w:val="FootnoteReference"/>
          <w:color w:val="000000" w:themeColor="text1"/>
        </w:rPr>
        <w:footnoteReference w:id="27"/>
      </w:r>
      <w:r w:rsidRPr="001E7F56">
        <w:rPr>
          <w:rFonts w:cs="Arial"/>
          <w:color w:val="000000" w:themeColor="text1"/>
        </w:rPr>
        <w:t xml:space="preserve">  </w:t>
      </w:r>
    </w:p>
    <w:p w14:paraId="1A3487DD" w14:textId="77777777" w:rsidR="009944E2" w:rsidRDefault="009944E2" w:rsidP="009944E2">
      <w:pPr>
        <w:pStyle w:val="ListParagraph"/>
        <w:ind w:left="0"/>
        <w:jc w:val="both"/>
        <w:rPr>
          <w:rFonts w:cs="Arial"/>
          <w:color w:val="000000" w:themeColor="text1"/>
        </w:rPr>
      </w:pPr>
    </w:p>
    <w:p w14:paraId="5FAFD65B" w14:textId="31C4E3A1" w:rsidR="001E7F56" w:rsidRPr="001E7F56" w:rsidRDefault="293CC503" w:rsidP="001E7F56">
      <w:pPr>
        <w:pStyle w:val="ListParagraph"/>
        <w:numPr>
          <w:ilvl w:val="0"/>
          <w:numId w:val="29"/>
        </w:numPr>
        <w:ind w:left="0" w:firstLine="0"/>
        <w:jc w:val="both"/>
        <w:rPr>
          <w:rFonts w:cs="Arial"/>
          <w:color w:val="000000" w:themeColor="text1"/>
        </w:rPr>
      </w:pPr>
      <w:r w:rsidRPr="00D618AE">
        <w:rPr>
          <w:rFonts w:cs="Arial"/>
          <w:b/>
          <w:bCs/>
          <w:color w:val="000000" w:themeColor="text1"/>
        </w:rPr>
        <w:t>E</w:t>
      </w:r>
      <w:r w:rsidR="0171BFB7" w:rsidRPr="00D618AE">
        <w:rPr>
          <w:rFonts w:cs="Arial"/>
          <w:b/>
          <w:bCs/>
          <w:color w:val="000000" w:themeColor="text1"/>
        </w:rPr>
        <w:t>xisting guarantees under PPAs are</w:t>
      </w:r>
      <w:r w:rsidR="50ADEA29" w:rsidRPr="00D618AE">
        <w:rPr>
          <w:rFonts w:cs="Arial"/>
          <w:b/>
          <w:bCs/>
          <w:color w:val="000000" w:themeColor="text1"/>
        </w:rPr>
        <w:t xml:space="preserve"> </w:t>
      </w:r>
      <w:r w:rsidR="0171BFB7" w:rsidRPr="00D618AE">
        <w:rPr>
          <w:rFonts w:cs="Arial"/>
          <w:b/>
          <w:bCs/>
          <w:color w:val="000000" w:themeColor="text1"/>
        </w:rPr>
        <w:t>set to increase fiscal pressures</w:t>
      </w:r>
      <w:r w:rsidR="00E14076">
        <w:rPr>
          <w:rFonts w:cs="Arial"/>
          <w:b/>
          <w:bCs/>
          <w:color w:val="000000" w:themeColor="text1"/>
        </w:rPr>
        <w:t>,</w:t>
      </w:r>
      <w:r w:rsidR="0171BFB7" w:rsidRPr="00D618AE">
        <w:rPr>
          <w:rFonts w:cs="Arial"/>
          <w:b/>
          <w:bCs/>
          <w:color w:val="000000" w:themeColor="text1"/>
        </w:rPr>
        <w:t xml:space="preserve"> threatening the path to </w:t>
      </w:r>
      <w:r w:rsidR="0013425C">
        <w:rPr>
          <w:rFonts w:cs="Arial"/>
          <w:b/>
          <w:bCs/>
          <w:color w:val="000000" w:themeColor="text1"/>
        </w:rPr>
        <w:t xml:space="preserve"> macroeconomic stability and </w:t>
      </w:r>
      <w:r w:rsidR="002E31EA">
        <w:rPr>
          <w:rFonts w:cs="Arial"/>
          <w:b/>
          <w:bCs/>
          <w:color w:val="000000" w:themeColor="text1"/>
        </w:rPr>
        <w:t>inclusive</w:t>
      </w:r>
      <w:r w:rsidR="0171BFB7" w:rsidRPr="00D618AE">
        <w:rPr>
          <w:rFonts w:cs="Arial"/>
          <w:b/>
          <w:bCs/>
          <w:color w:val="000000" w:themeColor="text1"/>
        </w:rPr>
        <w:t xml:space="preserve"> economic recovery</w:t>
      </w:r>
      <w:r w:rsidR="0171BFB7" w:rsidRPr="5D84ACAA">
        <w:rPr>
          <w:rFonts w:cs="Arial"/>
          <w:color w:val="000000" w:themeColor="text1"/>
        </w:rPr>
        <w:t>. Although payment of guarantees under PPAs are to be met largely through user fees, residual payments are worth 22% of GDP over 40 years.</w:t>
      </w:r>
      <w:r w:rsidR="00911477">
        <w:rPr>
          <w:rStyle w:val="FootnoteReference"/>
          <w:color w:val="000000" w:themeColor="text1"/>
        </w:rPr>
        <w:footnoteReference w:id="28"/>
      </w:r>
      <w:r w:rsidR="0171BFB7" w:rsidRPr="5D84ACAA">
        <w:rPr>
          <w:rFonts w:cs="Arial"/>
          <w:color w:val="000000" w:themeColor="text1"/>
        </w:rPr>
        <w:t xml:space="preserve"> These payments could double under plausible scenarios, </w:t>
      </w:r>
      <w:r w:rsidR="0171BFB7" w:rsidRPr="5D84ACAA">
        <w:rPr>
          <w:rFonts w:cs="Arial"/>
          <w:color w:val="000000" w:themeColor="text1"/>
        </w:rPr>
        <w:lastRenderedPageBreak/>
        <w:t>highlighting the need for effective management of these risks. Recent fiscal projections on the long-term implications of over 150 PPAs commit the government to ensuring minimum revenues</w:t>
      </w:r>
      <w:r w:rsidR="00151A58">
        <w:rPr>
          <w:rFonts w:cs="Arial"/>
          <w:color w:val="000000" w:themeColor="text1"/>
        </w:rPr>
        <w:t>—</w:t>
      </w:r>
      <w:r w:rsidR="0171BFB7" w:rsidRPr="5D84ACAA">
        <w:rPr>
          <w:rFonts w:cs="Arial"/>
          <w:color w:val="000000" w:themeColor="text1"/>
        </w:rPr>
        <w:t>or in some cases returns</w:t>
      </w:r>
      <w:r w:rsidR="00151A58">
        <w:rPr>
          <w:rFonts w:cs="Arial"/>
          <w:color w:val="000000" w:themeColor="text1"/>
        </w:rPr>
        <w:t>—</w:t>
      </w:r>
      <w:r w:rsidR="0171BFB7" w:rsidRPr="5D84ACAA">
        <w:rPr>
          <w:rFonts w:cs="Arial"/>
          <w:color w:val="000000" w:themeColor="text1"/>
        </w:rPr>
        <w:t>to</w:t>
      </w:r>
      <w:r w:rsidR="00151A58">
        <w:rPr>
          <w:rFonts w:cs="Arial"/>
          <w:color w:val="000000" w:themeColor="text1"/>
        </w:rPr>
        <w:t xml:space="preserve"> </w:t>
      </w:r>
      <w:r w:rsidR="0171BFB7" w:rsidRPr="5D84ACAA">
        <w:rPr>
          <w:rFonts w:cs="Arial"/>
          <w:color w:val="000000" w:themeColor="text1"/>
        </w:rPr>
        <w:t>power generators over a 50</w:t>
      </w:r>
      <w:r w:rsidR="00E909A7">
        <w:rPr>
          <w:rFonts w:cs="Arial"/>
          <w:color w:val="000000" w:themeColor="text1"/>
        </w:rPr>
        <w:t>-</w:t>
      </w:r>
      <w:r w:rsidR="0171BFB7" w:rsidRPr="5D84ACAA">
        <w:rPr>
          <w:rFonts w:cs="Arial"/>
          <w:color w:val="000000" w:themeColor="text1"/>
        </w:rPr>
        <w:t xml:space="preserve">year plus period worth around 65% GDP. The major challenge posed by fiscal risks stemming from PPAs and SOEs is the lack of data and difficulty of incorporating it into the budgeting process. </w:t>
      </w:r>
      <w:r w:rsidR="001E7F56" w:rsidRPr="001E7F56">
        <w:rPr>
          <w:rFonts w:cs="Arial"/>
          <w:color w:val="000000" w:themeColor="text1"/>
        </w:rPr>
        <w:t xml:space="preserve">Failure </w:t>
      </w:r>
      <w:r w:rsidR="00CB47A4">
        <w:rPr>
          <w:rFonts w:cs="Arial"/>
          <w:color w:val="000000" w:themeColor="text1"/>
        </w:rPr>
        <w:t>to</w:t>
      </w:r>
      <w:r w:rsidR="001E7F56" w:rsidRPr="001E7F56">
        <w:rPr>
          <w:rFonts w:cs="Arial"/>
          <w:color w:val="000000" w:themeColor="text1"/>
        </w:rPr>
        <w:t xml:space="preserve"> </w:t>
      </w:r>
      <w:r w:rsidR="009C2490">
        <w:rPr>
          <w:rFonts w:cs="Arial"/>
          <w:color w:val="000000" w:themeColor="text1"/>
        </w:rPr>
        <w:t>p</w:t>
      </w:r>
      <w:r w:rsidR="00411091">
        <w:rPr>
          <w:rFonts w:cs="Arial"/>
          <w:color w:val="000000" w:themeColor="text1"/>
        </w:rPr>
        <w:t>r</w:t>
      </w:r>
      <w:r w:rsidR="009C2490">
        <w:rPr>
          <w:rFonts w:cs="Arial"/>
          <w:color w:val="000000" w:themeColor="text1"/>
        </w:rPr>
        <w:t>oper</w:t>
      </w:r>
      <w:r w:rsidR="004439FE">
        <w:rPr>
          <w:rFonts w:cs="Arial"/>
          <w:color w:val="000000" w:themeColor="text1"/>
        </w:rPr>
        <w:t>ly</w:t>
      </w:r>
      <w:r w:rsidR="00CB47A4">
        <w:rPr>
          <w:rFonts w:cs="Arial"/>
          <w:color w:val="000000" w:themeColor="text1"/>
        </w:rPr>
        <w:t xml:space="preserve"> </w:t>
      </w:r>
      <w:r w:rsidR="00411091">
        <w:rPr>
          <w:rFonts w:cs="Arial"/>
          <w:color w:val="000000" w:themeColor="text1"/>
        </w:rPr>
        <w:t>reflect</w:t>
      </w:r>
      <w:r w:rsidR="0171BFB7" w:rsidRPr="5D84ACAA">
        <w:rPr>
          <w:rFonts w:cs="Arial"/>
          <w:color w:val="000000" w:themeColor="text1"/>
        </w:rPr>
        <w:t xml:space="preserve"> contingent </w:t>
      </w:r>
      <w:r w:rsidR="001E7F56" w:rsidRPr="001E7F56">
        <w:rPr>
          <w:rFonts w:cs="Arial"/>
          <w:color w:val="000000" w:themeColor="text1"/>
        </w:rPr>
        <w:t>liabilit</w:t>
      </w:r>
      <w:r w:rsidR="004439FE">
        <w:rPr>
          <w:rFonts w:cs="Arial"/>
          <w:color w:val="000000" w:themeColor="text1"/>
        </w:rPr>
        <w:t>ies in the budget framework, especially</w:t>
      </w:r>
      <w:r w:rsidR="0171BFB7" w:rsidRPr="5D84ACAA">
        <w:rPr>
          <w:rFonts w:cs="Arial"/>
          <w:color w:val="000000" w:themeColor="text1"/>
        </w:rPr>
        <w:t xml:space="preserve"> during a crisis</w:t>
      </w:r>
      <w:r w:rsidR="004439FE">
        <w:rPr>
          <w:rFonts w:cs="Arial"/>
          <w:color w:val="000000" w:themeColor="text1"/>
        </w:rPr>
        <w:t>,</w:t>
      </w:r>
      <w:r w:rsidR="0171BFB7" w:rsidRPr="5D84ACAA">
        <w:rPr>
          <w:rFonts w:cs="Arial"/>
          <w:color w:val="000000" w:themeColor="text1"/>
        </w:rPr>
        <w:t xml:space="preserve"> can </w:t>
      </w:r>
      <w:r w:rsidR="004439FE">
        <w:rPr>
          <w:rFonts w:cs="Arial"/>
          <w:color w:val="000000" w:themeColor="text1"/>
        </w:rPr>
        <w:t>lead to expenditure overruns</w:t>
      </w:r>
      <w:r w:rsidR="005549A1">
        <w:rPr>
          <w:rFonts w:cs="Arial"/>
          <w:color w:val="000000" w:themeColor="text1"/>
        </w:rPr>
        <w:t xml:space="preserve"> </w:t>
      </w:r>
      <w:r w:rsidR="005F64ED">
        <w:rPr>
          <w:rFonts w:cs="Arial"/>
          <w:color w:val="000000" w:themeColor="text1"/>
        </w:rPr>
        <w:t>and fiscal</w:t>
      </w:r>
      <w:r w:rsidR="005549A1">
        <w:rPr>
          <w:rFonts w:cs="Arial"/>
          <w:color w:val="000000" w:themeColor="text1"/>
        </w:rPr>
        <w:t xml:space="preserve"> pressures</w:t>
      </w:r>
      <w:r w:rsidR="0171BFB7" w:rsidRPr="5D84ACAA">
        <w:rPr>
          <w:rFonts w:cs="Arial"/>
          <w:color w:val="000000" w:themeColor="text1"/>
        </w:rPr>
        <w:t xml:space="preserve">. </w:t>
      </w:r>
      <w:r w:rsidR="5E6E56C7" w:rsidRPr="5D84ACAA">
        <w:rPr>
          <w:rFonts w:cs="Arial"/>
          <w:color w:val="000000" w:themeColor="text1"/>
        </w:rPr>
        <w:t>Such a risk would further jeopardize an inclusive and sustainable recovery in the country and require immediate actions.</w:t>
      </w:r>
    </w:p>
    <w:p w14:paraId="523FA49C" w14:textId="77777777" w:rsidR="001E7F56" w:rsidRPr="001E7F56" w:rsidRDefault="001E7F56" w:rsidP="001E7F56">
      <w:pPr>
        <w:pStyle w:val="ListParagraph"/>
        <w:ind w:left="0"/>
        <w:jc w:val="both"/>
        <w:rPr>
          <w:rFonts w:cs="Arial"/>
          <w:color w:val="FF0000"/>
        </w:rPr>
      </w:pPr>
    </w:p>
    <w:p w14:paraId="1DAA8990" w14:textId="36039654" w:rsidR="006A7149" w:rsidRPr="006A7149" w:rsidRDefault="00055B43" w:rsidP="004845CB">
      <w:pPr>
        <w:pStyle w:val="ListParagraph"/>
        <w:numPr>
          <w:ilvl w:val="0"/>
          <w:numId w:val="29"/>
        </w:numPr>
        <w:ind w:left="0" w:firstLine="0"/>
        <w:jc w:val="both"/>
        <w:rPr>
          <w:rFonts w:cs="Arial"/>
          <w:color w:val="FF0000"/>
        </w:rPr>
      </w:pPr>
      <w:r>
        <w:rPr>
          <w:rFonts w:cs="Arial"/>
          <w:b/>
          <w:bCs/>
          <w:color w:val="000000" w:themeColor="text1"/>
        </w:rPr>
        <w:t>T</w:t>
      </w:r>
      <w:r w:rsidRPr="001E7F56">
        <w:rPr>
          <w:rFonts w:cs="Arial"/>
          <w:b/>
          <w:bCs/>
          <w:color w:val="000000" w:themeColor="text1"/>
        </w:rPr>
        <w:t>o maximize the chances of a fast recovery</w:t>
      </w:r>
      <w:r>
        <w:rPr>
          <w:rFonts w:cs="Arial"/>
          <w:b/>
          <w:bCs/>
          <w:color w:val="000000" w:themeColor="text1"/>
        </w:rPr>
        <w:t>,</w:t>
      </w:r>
      <w:r w:rsidRPr="001E7F56">
        <w:rPr>
          <w:rFonts w:cs="Arial"/>
          <w:b/>
          <w:bCs/>
          <w:color w:val="000000" w:themeColor="text1"/>
        </w:rPr>
        <w:t xml:space="preserve"> </w:t>
      </w:r>
      <w:r w:rsidR="3DD0AA2B" w:rsidRPr="001E7F56">
        <w:rPr>
          <w:rFonts w:cs="Arial"/>
          <w:b/>
          <w:bCs/>
          <w:color w:val="000000" w:themeColor="text1"/>
        </w:rPr>
        <w:t xml:space="preserve">the government </w:t>
      </w:r>
      <w:r>
        <w:rPr>
          <w:rFonts w:cs="Arial"/>
          <w:b/>
          <w:bCs/>
          <w:color w:val="000000" w:themeColor="text1"/>
        </w:rPr>
        <w:t xml:space="preserve">aims to </w:t>
      </w:r>
      <w:r w:rsidR="004817EE">
        <w:rPr>
          <w:rFonts w:cs="Arial"/>
          <w:b/>
          <w:bCs/>
          <w:color w:val="000000" w:themeColor="text1"/>
        </w:rPr>
        <w:t>strengthen management of</w:t>
      </w:r>
      <w:r>
        <w:rPr>
          <w:rFonts w:cs="Arial"/>
          <w:b/>
          <w:bCs/>
          <w:color w:val="000000" w:themeColor="text1"/>
        </w:rPr>
        <w:t xml:space="preserve"> </w:t>
      </w:r>
      <w:r w:rsidR="71C1B1D1" w:rsidRPr="001E7F56">
        <w:rPr>
          <w:rFonts w:cs="Arial"/>
          <w:b/>
          <w:bCs/>
          <w:color w:val="000000" w:themeColor="text1"/>
        </w:rPr>
        <w:t xml:space="preserve">fiscal </w:t>
      </w:r>
      <w:r w:rsidR="00951885" w:rsidRPr="001E7F56">
        <w:rPr>
          <w:rFonts w:cs="Arial"/>
          <w:b/>
          <w:bCs/>
          <w:color w:val="000000" w:themeColor="text1"/>
        </w:rPr>
        <w:t>risk</w:t>
      </w:r>
      <w:r>
        <w:rPr>
          <w:rFonts w:cs="Arial"/>
          <w:b/>
          <w:bCs/>
          <w:color w:val="000000" w:themeColor="text1"/>
        </w:rPr>
        <w:t>s</w:t>
      </w:r>
      <w:r w:rsidR="4572060C" w:rsidRPr="001E7F56">
        <w:rPr>
          <w:rFonts w:cs="Arial"/>
          <w:b/>
          <w:bCs/>
          <w:color w:val="000000" w:themeColor="text1"/>
        </w:rPr>
        <w:t>.</w:t>
      </w:r>
      <w:r w:rsidR="71C1B1D1" w:rsidRPr="001E7F56">
        <w:rPr>
          <w:rFonts w:cs="Arial"/>
          <w:color w:val="000000" w:themeColor="text1"/>
        </w:rPr>
        <w:t xml:space="preserve"> </w:t>
      </w:r>
      <w:r w:rsidR="3DD0AA2B" w:rsidRPr="001E7F56">
        <w:rPr>
          <w:rFonts w:cs="Arial"/>
          <w:color w:val="000000" w:themeColor="text1"/>
        </w:rPr>
        <w:t xml:space="preserve">The government’s ability to </w:t>
      </w:r>
      <w:r w:rsidR="49194078" w:rsidRPr="001E7F56">
        <w:rPr>
          <w:rFonts w:cs="Arial"/>
          <w:color w:val="000000" w:themeColor="text1"/>
        </w:rPr>
        <w:t>gradually narrow the fiscal deficit towards</w:t>
      </w:r>
      <w:r w:rsidR="3DD0AA2B" w:rsidRPr="001E7F56">
        <w:rPr>
          <w:rFonts w:cs="Arial"/>
          <w:color w:val="000000" w:themeColor="text1"/>
        </w:rPr>
        <w:t xml:space="preserve"> the 3% ceiling specified in the Economic Liberty Act, hinges on its capacity to avert unplanned fiscal expenditures that may arise from the </w:t>
      </w:r>
      <w:r w:rsidR="5E7BBB09" w:rsidRPr="01DC955D">
        <w:rPr>
          <w:rFonts w:cs="Arial"/>
          <w:color w:val="000000" w:themeColor="text1"/>
        </w:rPr>
        <w:t>materialization</w:t>
      </w:r>
      <w:r w:rsidR="3DD0AA2B" w:rsidRPr="001E7F56">
        <w:rPr>
          <w:rFonts w:cs="Arial"/>
          <w:color w:val="000000" w:themeColor="text1"/>
        </w:rPr>
        <w:t xml:space="preserve"> of fiscal risks. These risks include: (i) materialization of obligations to provide minimum guarantees under some PPAs agreements described in para.</w:t>
      </w:r>
      <w:r w:rsidR="50141799">
        <w:rPr>
          <w:rFonts w:cs="Arial"/>
          <w:color w:val="000000" w:themeColor="text1"/>
        </w:rPr>
        <w:t xml:space="preserve"> </w:t>
      </w:r>
      <w:r w:rsidR="001921BB">
        <w:rPr>
          <w:rFonts w:cs="Arial"/>
          <w:color w:val="000000" w:themeColor="text1"/>
        </w:rPr>
        <w:t>9</w:t>
      </w:r>
      <w:r w:rsidR="50141799">
        <w:rPr>
          <w:rFonts w:cs="Arial"/>
          <w:color w:val="000000" w:themeColor="text1"/>
        </w:rPr>
        <w:t>;</w:t>
      </w:r>
      <w:r w:rsidR="3DD0AA2B" w:rsidRPr="001E7F56">
        <w:rPr>
          <w:rFonts w:cs="Arial"/>
          <w:color w:val="000000" w:themeColor="text1"/>
        </w:rPr>
        <w:t xml:space="preserve"> (ii) exposure to natural disaster risks</w:t>
      </w:r>
      <w:r w:rsidR="134CAF28" w:rsidRPr="01DC955D">
        <w:rPr>
          <w:rFonts w:cs="Arial"/>
          <w:color w:val="000000" w:themeColor="text1"/>
        </w:rPr>
        <w:t xml:space="preserve">; </w:t>
      </w:r>
      <w:r w:rsidR="3DD0AA2B" w:rsidRPr="001E7F56">
        <w:rPr>
          <w:rFonts w:cs="Arial"/>
          <w:color w:val="000000" w:themeColor="text1"/>
        </w:rPr>
        <w:t>and (iii) the foreign exchange exposure and potential recapitalization requirements of the large SOE sector.</w:t>
      </w:r>
      <w:r w:rsidR="00775BF1">
        <w:rPr>
          <w:rStyle w:val="FootnoteReference"/>
          <w:color w:val="000000" w:themeColor="text1"/>
        </w:rPr>
        <w:footnoteReference w:id="29"/>
      </w:r>
      <w:r w:rsidR="3DD0AA2B" w:rsidRPr="001E7F56">
        <w:rPr>
          <w:rFonts w:cs="Arial"/>
          <w:color w:val="000000" w:themeColor="text1"/>
        </w:rPr>
        <w:t xml:space="preserve"> Institutional reforms</w:t>
      </w:r>
      <w:r w:rsidR="00D32466">
        <w:rPr>
          <w:rFonts w:cs="Arial"/>
          <w:color w:val="000000" w:themeColor="text1"/>
        </w:rPr>
        <w:t>,</w:t>
      </w:r>
      <w:r w:rsidR="3DD0AA2B" w:rsidRPr="001E7F56">
        <w:rPr>
          <w:rFonts w:cs="Arial"/>
          <w:color w:val="000000" w:themeColor="text1"/>
        </w:rPr>
        <w:t xml:space="preserve"> which support adequate identification, disclosure</w:t>
      </w:r>
      <w:r w:rsidR="002C04D2">
        <w:rPr>
          <w:rFonts w:cs="Arial"/>
          <w:color w:val="000000" w:themeColor="text1"/>
        </w:rPr>
        <w:t>,</w:t>
      </w:r>
      <w:r w:rsidR="3DD0AA2B" w:rsidRPr="001E7F56">
        <w:rPr>
          <w:rFonts w:cs="Arial"/>
          <w:color w:val="000000" w:themeColor="text1"/>
        </w:rPr>
        <w:t xml:space="preserve"> and preparation for such risks</w:t>
      </w:r>
      <w:r w:rsidR="002C04D2">
        <w:rPr>
          <w:rFonts w:cs="Arial"/>
          <w:color w:val="000000" w:themeColor="text1"/>
        </w:rPr>
        <w:t>,</w:t>
      </w:r>
      <w:r w:rsidR="3DD0AA2B" w:rsidRPr="001E7F56">
        <w:rPr>
          <w:rFonts w:cs="Arial"/>
          <w:color w:val="000000" w:themeColor="text1"/>
        </w:rPr>
        <w:t xml:space="preserve"> can help avert unplanned fiscal pressures and associated impact on the fiscal deficit and</w:t>
      </w:r>
      <w:r w:rsidR="002C04D2">
        <w:rPr>
          <w:rFonts w:cs="Arial"/>
          <w:color w:val="000000" w:themeColor="text1"/>
        </w:rPr>
        <w:t>—</w:t>
      </w:r>
      <w:r w:rsidR="3DD0AA2B" w:rsidRPr="001E7F56">
        <w:rPr>
          <w:rFonts w:cs="Arial"/>
          <w:color w:val="000000" w:themeColor="text1"/>
        </w:rPr>
        <w:t>as a consequence</w:t>
      </w:r>
      <w:r w:rsidR="002C04D2" w:rsidRPr="002C04D2">
        <w:rPr>
          <w:rFonts w:cs="Arial"/>
          <w:color w:val="000000" w:themeColor="text1"/>
        </w:rPr>
        <w:t>—</w:t>
      </w:r>
      <w:r w:rsidR="001921BB">
        <w:rPr>
          <w:rFonts w:cs="Arial"/>
          <w:color w:val="000000" w:themeColor="text1"/>
        </w:rPr>
        <w:t>general government</w:t>
      </w:r>
      <w:r w:rsidR="3DD0AA2B" w:rsidRPr="001E7F56">
        <w:rPr>
          <w:rFonts w:cs="Arial"/>
          <w:color w:val="000000" w:themeColor="text1"/>
        </w:rPr>
        <w:t xml:space="preserve"> debt. </w:t>
      </w:r>
      <w:r w:rsidR="00046A25">
        <w:rPr>
          <w:rFonts w:cs="Arial"/>
          <w:color w:val="000000" w:themeColor="text1"/>
        </w:rPr>
        <w:t xml:space="preserve">Based on international experience, </w:t>
      </w:r>
      <w:r w:rsidR="00B84903">
        <w:rPr>
          <w:rFonts w:cs="Arial"/>
          <w:color w:val="000000" w:themeColor="text1"/>
        </w:rPr>
        <w:t>m</w:t>
      </w:r>
      <w:r w:rsidR="3DD0AA2B" w:rsidRPr="001E7F56">
        <w:rPr>
          <w:rFonts w:cs="Arial"/>
          <w:color w:val="000000" w:themeColor="text1"/>
        </w:rPr>
        <w:t xml:space="preserve">aterialization of contingent liabilities, especially when coupled with exchange rate depreciation, have been found to be one of the most </w:t>
      </w:r>
      <w:r w:rsidR="004256AA">
        <w:rPr>
          <w:rFonts w:cs="Arial"/>
          <w:color w:val="000000" w:themeColor="text1"/>
        </w:rPr>
        <w:t>common</w:t>
      </w:r>
      <w:r w:rsidR="3DD0AA2B" w:rsidRPr="001E7F56">
        <w:rPr>
          <w:rFonts w:cs="Arial"/>
          <w:color w:val="000000" w:themeColor="text1"/>
        </w:rPr>
        <w:t xml:space="preserve"> causes of unexpected increases in the public debt-to-GDP ratio</w:t>
      </w:r>
      <w:r w:rsidR="0C47232D" w:rsidRPr="001E7F56">
        <w:rPr>
          <w:rFonts w:cs="Arial"/>
          <w:color w:val="000000" w:themeColor="text1"/>
        </w:rPr>
        <w:t xml:space="preserve"> </w:t>
      </w:r>
      <w:r w:rsidR="002F7891">
        <w:rPr>
          <w:rFonts w:cs="Arial"/>
          <w:color w:val="000000" w:themeColor="text1"/>
        </w:rPr>
        <w:t>between 20</w:t>
      </w:r>
      <w:r w:rsidR="004845CB">
        <w:rPr>
          <w:rFonts w:cs="Arial"/>
          <w:color w:val="000000" w:themeColor="text1"/>
        </w:rPr>
        <w:t>07-2019</w:t>
      </w:r>
      <w:r w:rsidR="3DD0AA2B" w:rsidRPr="001E7F56">
        <w:rPr>
          <w:rFonts w:cs="Arial"/>
          <w:color w:val="000000" w:themeColor="text1"/>
        </w:rPr>
        <w:t>.</w:t>
      </w:r>
      <w:r w:rsidR="003B027F">
        <w:rPr>
          <w:rStyle w:val="FootnoteReference"/>
          <w:color w:val="000000" w:themeColor="text1"/>
        </w:rPr>
        <w:footnoteReference w:id="30"/>
      </w:r>
      <w:r w:rsidR="3DD0AA2B" w:rsidRPr="001E7F56">
        <w:rPr>
          <w:rFonts w:cs="Arial"/>
          <w:color w:val="000000" w:themeColor="text1"/>
        </w:rPr>
        <w:t xml:space="preserve"> Contingent liabilities </w:t>
      </w:r>
      <w:r w:rsidR="226FFB17" w:rsidRPr="01DC955D">
        <w:rPr>
          <w:rFonts w:cs="Arial"/>
          <w:color w:val="000000" w:themeColor="text1"/>
        </w:rPr>
        <w:t>stemming</w:t>
      </w:r>
      <w:r w:rsidR="3DD0AA2B" w:rsidRPr="001E7F56">
        <w:rPr>
          <w:rFonts w:cs="Arial"/>
          <w:color w:val="000000" w:themeColor="text1"/>
        </w:rPr>
        <w:t xml:space="preserve"> from natural disasters, </w:t>
      </w:r>
      <w:r w:rsidR="001F5D9D" w:rsidRPr="002C04D2">
        <w:rPr>
          <w:rFonts w:cs="Arial"/>
          <w:color w:val="000000" w:themeColor="text1"/>
        </w:rPr>
        <w:t>from</w:t>
      </w:r>
      <w:r w:rsidR="3DD0AA2B" w:rsidRPr="001E7F56">
        <w:rPr>
          <w:rFonts w:cs="Arial"/>
          <w:color w:val="000000" w:themeColor="text1"/>
        </w:rPr>
        <w:t xml:space="preserve"> example, have historically been as high as 10% of GDP in some countries.</w:t>
      </w:r>
      <w:r w:rsidR="00D67E4C">
        <w:rPr>
          <w:rStyle w:val="FootnoteReference"/>
          <w:color w:val="000000" w:themeColor="text1"/>
        </w:rPr>
        <w:footnoteReference w:id="31"/>
      </w:r>
      <w:r w:rsidR="3DD0AA2B" w:rsidRPr="001E7F56">
        <w:rPr>
          <w:rFonts w:cs="Arial"/>
          <w:color w:val="000000" w:themeColor="text1"/>
        </w:rPr>
        <w:t xml:space="preserve"> </w:t>
      </w:r>
    </w:p>
    <w:p w14:paraId="7A806185" w14:textId="77777777" w:rsidR="006A7149" w:rsidRDefault="006A7149" w:rsidP="006A7149">
      <w:pPr>
        <w:rPr>
          <w:rFonts w:cs="Arial"/>
          <w:b/>
          <w:bCs/>
          <w:color w:val="000000" w:themeColor="text1"/>
        </w:rPr>
      </w:pPr>
    </w:p>
    <w:p w14:paraId="1F3B4024" w14:textId="46F9574F" w:rsidR="00A23B0C" w:rsidRPr="00B7621A" w:rsidRDefault="00F15534" w:rsidP="00B7621A">
      <w:pPr>
        <w:pStyle w:val="ListParagraph"/>
        <w:numPr>
          <w:ilvl w:val="0"/>
          <w:numId w:val="29"/>
        </w:numPr>
        <w:ind w:left="0" w:firstLine="0"/>
        <w:jc w:val="both"/>
        <w:rPr>
          <w:rFonts w:cs="Arial"/>
          <w:color w:val="FF0000"/>
        </w:rPr>
      </w:pPr>
      <w:r w:rsidRPr="006A7149">
        <w:rPr>
          <w:rFonts w:cs="Arial"/>
          <w:b/>
          <w:bCs/>
          <w:color w:val="000000" w:themeColor="text1"/>
        </w:rPr>
        <w:t>S</w:t>
      </w:r>
      <w:r w:rsidR="00EB784C" w:rsidRPr="00B7621A">
        <w:rPr>
          <w:rFonts w:cs="Arial"/>
          <w:b/>
          <w:bCs/>
          <w:color w:val="000000" w:themeColor="text1"/>
        </w:rPr>
        <w:t>trengthen</w:t>
      </w:r>
      <w:r w:rsidR="00EB784C" w:rsidRPr="00B7621A">
        <w:rPr>
          <w:rFonts w:cs="Arial"/>
          <w:b/>
          <w:color w:val="000000" w:themeColor="text1"/>
        </w:rPr>
        <w:t xml:space="preserve"> the government’s capacity to </w:t>
      </w:r>
      <w:r w:rsidR="00EB784C" w:rsidRPr="006A7149">
        <w:rPr>
          <w:rFonts w:cs="Arial"/>
          <w:b/>
          <w:color w:val="000000" w:themeColor="text1"/>
        </w:rPr>
        <w:t xml:space="preserve">report </w:t>
      </w:r>
      <w:r w:rsidR="0056245E" w:rsidRPr="006A7149">
        <w:rPr>
          <w:rFonts w:cs="Arial"/>
          <w:b/>
          <w:bCs/>
          <w:color w:val="000000" w:themeColor="text1"/>
        </w:rPr>
        <w:t>and</w:t>
      </w:r>
      <w:r w:rsidR="00EB784C" w:rsidRPr="00B7621A">
        <w:rPr>
          <w:rFonts w:cs="Arial"/>
          <w:b/>
          <w:bCs/>
          <w:color w:val="000000" w:themeColor="text1"/>
        </w:rPr>
        <w:t xml:space="preserve"> manage</w:t>
      </w:r>
      <w:r w:rsidR="0056245E" w:rsidRPr="006A7149">
        <w:rPr>
          <w:rFonts w:cs="Arial"/>
          <w:b/>
          <w:bCs/>
          <w:color w:val="000000" w:themeColor="text1"/>
        </w:rPr>
        <w:t xml:space="preserve"> </w:t>
      </w:r>
      <w:r w:rsidR="00EB784C" w:rsidRPr="00B7621A">
        <w:rPr>
          <w:rFonts w:cs="Arial"/>
          <w:b/>
          <w:color w:val="000000" w:themeColor="text1"/>
        </w:rPr>
        <w:t xml:space="preserve">fiscal risks from </w:t>
      </w:r>
      <w:r w:rsidR="002F4162" w:rsidRPr="006A7149">
        <w:rPr>
          <w:rFonts w:cs="Arial"/>
          <w:b/>
          <w:bCs/>
          <w:color w:val="000000" w:themeColor="text1"/>
        </w:rPr>
        <w:t>public-private partnerships</w:t>
      </w:r>
      <w:r w:rsidR="00DE6052" w:rsidRPr="006A7149">
        <w:rPr>
          <w:rFonts w:cs="Arial"/>
          <w:b/>
          <w:bCs/>
          <w:color w:val="000000" w:themeColor="text1"/>
        </w:rPr>
        <w:t xml:space="preserve">, </w:t>
      </w:r>
      <w:r w:rsidR="00EB784C" w:rsidRPr="00B7621A">
        <w:rPr>
          <w:rFonts w:cs="Arial"/>
          <w:b/>
          <w:color w:val="000000" w:themeColor="text1"/>
        </w:rPr>
        <w:t xml:space="preserve">PPAs, </w:t>
      </w:r>
      <w:r w:rsidR="00DE6052" w:rsidRPr="006A7149">
        <w:rPr>
          <w:rFonts w:cs="Arial"/>
          <w:b/>
          <w:bCs/>
          <w:color w:val="000000" w:themeColor="text1"/>
        </w:rPr>
        <w:t>and</w:t>
      </w:r>
      <w:r w:rsidR="00EB784C" w:rsidRPr="00B7621A">
        <w:rPr>
          <w:rFonts w:cs="Arial"/>
          <w:b/>
          <w:bCs/>
          <w:color w:val="000000" w:themeColor="text1"/>
        </w:rPr>
        <w:t xml:space="preserve"> </w:t>
      </w:r>
      <w:r w:rsidR="0064181B" w:rsidRPr="006A7149">
        <w:rPr>
          <w:rFonts w:cs="Arial"/>
          <w:b/>
          <w:bCs/>
          <w:color w:val="000000" w:themeColor="text1"/>
        </w:rPr>
        <w:t>SOEs</w:t>
      </w:r>
      <w:r w:rsidRPr="006A7149">
        <w:rPr>
          <w:rFonts w:cs="Arial"/>
          <w:b/>
          <w:bCs/>
          <w:color w:val="000000" w:themeColor="text1"/>
        </w:rPr>
        <w:t xml:space="preserve"> will </w:t>
      </w:r>
      <w:r w:rsidR="0024786E" w:rsidRPr="006A7149">
        <w:rPr>
          <w:rFonts w:cs="Arial"/>
          <w:b/>
          <w:bCs/>
          <w:color w:val="000000" w:themeColor="text1"/>
        </w:rPr>
        <w:t>create fiscal space for social protection</w:t>
      </w:r>
      <w:r w:rsidR="00E51EC0" w:rsidRPr="006A7149">
        <w:rPr>
          <w:rFonts w:cs="Arial"/>
          <w:b/>
          <w:bCs/>
          <w:color w:val="000000" w:themeColor="text1"/>
        </w:rPr>
        <w:t>.</w:t>
      </w:r>
      <w:r w:rsidR="00EB784C" w:rsidRPr="00B7621A">
        <w:rPr>
          <w:rFonts w:cs="Arial"/>
          <w:b/>
          <w:color w:val="000000" w:themeColor="text1"/>
        </w:rPr>
        <w:t xml:space="preserve"> </w:t>
      </w:r>
      <w:r w:rsidR="3DD0AA2B" w:rsidRPr="006A7149">
        <w:rPr>
          <w:rFonts w:cs="Arial"/>
          <w:color w:val="000000" w:themeColor="text1"/>
        </w:rPr>
        <w:t>Experience from the Global Financial Crisis of 2008 and the numerous episodes of SOE and bank recapitalization and materialization of obligations to provide minimum guarantees under</w:t>
      </w:r>
      <w:r w:rsidR="541106E6" w:rsidRPr="006A7149">
        <w:rPr>
          <w:rFonts w:cs="Arial"/>
          <w:color w:val="000000" w:themeColor="text1"/>
        </w:rPr>
        <w:t xml:space="preserve"> public-private partnerships</w:t>
      </w:r>
      <w:r w:rsidR="3DD0AA2B" w:rsidRPr="006A7149">
        <w:rPr>
          <w:rFonts w:cs="Arial"/>
          <w:color w:val="000000" w:themeColor="text1"/>
        </w:rPr>
        <w:t xml:space="preserve"> </w:t>
      </w:r>
      <w:r w:rsidR="541106E6" w:rsidRPr="006A7149">
        <w:rPr>
          <w:rFonts w:cs="Arial"/>
          <w:color w:val="000000" w:themeColor="text1"/>
        </w:rPr>
        <w:t>(</w:t>
      </w:r>
      <w:r w:rsidR="3DD0AA2B" w:rsidRPr="006A7149">
        <w:rPr>
          <w:rFonts w:cs="Arial"/>
          <w:color w:val="000000" w:themeColor="text1"/>
        </w:rPr>
        <w:t>PPP</w:t>
      </w:r>
      <w:r w:rsidR="541106E6" w:rsidRPr="006A7149">
        <w:rPr>
          <w:rFonts w:cs="Arial"/>
          <w:color w:val="000000" w:themeColor="text1"/>
        </w:rPr>
        <w:t>)</w:t>
      </w:r>
      <w:r w:rsidR="3DD0AA2B" w:rsidRPr="006A7149">
        <w:rPr>
          <w:rFonts w:cs="Arial"/>
          <w:color w:val="000000" w:themeColor="text1"/>
        </w:rPr>
        <w:t xml:space="preserve"> and PPAs served to remind us how disruptive such risks can </w:t>
      </w:r>
      <w:r w:rsidR="001F5D9D" w:rsidRPr="006A7149">
        <w:rPr>
          <w:rFonts w:cs="Arial"/>
          <w:color w:val="000000" w:themeColor="text1"/>
        </w:rPr>
        <w:t>be</w:t>
      </w:r>
      <w:r w:rsidR="00220E32" w:rsidRPr="006A7149">
        <w:rPr>
          <w:rFonts w:cs="Arial"/>
          <w:color w:val="000000" w:themeColor="text1"/>
        </w:rPr>
        <w:t>come</w:t>
      </w:r>
      <w:r w:rsidR="3DD0AA2B" w:rsidRPr="006A7149">
        <w:rPr>
          <w:rFonts w:cs="Arial"/>
          <w:color w:val="000000" w:themeColor="text1"/>
        </w:rPr>
        <w:t xml:space="preserve"> to fiscal</w:t>
      </w:r>
      <w:r w:rsidR="001F5D9D" w:rsidRPr="006A7149">
        <w:rPr>
          <w:rFonts w:cs="Arial"/>
          <w:color w:val="000000" w:themeColor="text1"/>
        </w:rPr>
        <w:t xml:space="preserve"> </w:t>
      </w:r>
      <w:r w:rsidR="002E363E" w:rsidRPr="006A7149">
        <w:rPr>
          <w:rFonts w:cs="Arial"/>
          <w:color w:val="000000" w:themeColor="text1"/>
        </w:rPr>
        <w:t>and debt</w:t>
      </w:r>
      <w:r w:rsidR="3DD0AA2B" w:rsidRPr="006A7149">
        <w:rPr>
          <w:rFonts w:cs="Arial"/>
          <w:color w:val="000000" w:themeColor="text1"/>
        </w:rPr>
        <w:t xml:space="preserve"> stability.</w:t>
      </w:r>
      <w:r w:rsidR="000B53DD">
        <w:rPr>
          <w:rStyle w:val="FootnoteReference"/>
          <w:color w:val="000000" w:themeColor="text1"/>
        </w:rPr>
        <w:footnoteReference w:id="32"/>
      </w:r>
      <w:r w:rsidR="3DD0AA2B" w:rsidRPr="006A7149">
        <w:rPr>
          <w:rFonts w:cs="Arial"/>
          <w:color w:val="000000" w:themeColor="text1"/>
        </w:rPr>
        <w:t xml:space="preserve"> </w:t>
      </w:r>
      <w:r w:rsidR="462A2A5E" w:rsidRPr="006A7149">
        <w:rPr>
          <w:rFonts w:cs="Arial"/>
          <w:color w:val="000000" w:themeColor="text1"/>
        </w:rPr>
        <w:t>This include</w:t>
      </w:r>
      <w:r w:rsidR="00534D45" w:rsidRPr="006A7149">
        <w:rPr>
          <w:rFonts w:cs="Arial"/>
          <w:color w:val="000000" w:themeColor="text1"/>
        </w:rPr>
        <w:t>s</w:t>
      </w:r>
      <w:r w:rsidR="462A2A5E" w:rsidRPr="006A7149">
        <w:rPr>
          <w:rFonts w:cs="Arial"/>
          <w:color w:val="000000" w:themeColor="text1"/>
        </w:rPr>
        <w:t xml:space="preserve"> </w:t>
      </w:r>
      <w:r w:rsidR="439600CE" w:rsidRPr="006A7149">
        <w:rPr>
          <w:rFonts w:cs="Arial"/>
          <w:color w:val="000000" w:themeColor="text1"/>
        </w:rPr>
        <w:t>fiscal risks from</w:t>
      </w:r>
      <w:r w:rsidR="462A2A5E" w:rsidRPr="006A7149">
        <w:rPr>
          <w:rFonts w:cs="Arial"/>
          <w:color w:val="000000" w:themeColor="text1"/>
        </w:rPr>
        <w:t xml:space="preserve"> </w:t>
      </w:r>
      <w:r w:rsidR="726D66EE" w:rsidRPr="006A7149">
        <w:rPr>
          <w:rFonts w:cs="Arial"/>
          <w:color w:val="000000" w:themeColor="text1"/>
        </w:rPr>
        <w:t xml:space="preserve">unfunded or underfunded </w:t>
      </w:r>
      <w:r w:rsidR="462A2A5E" w:rsidRPr="006A7149">
        <w:rPr>
          <w:rFonts w:cs="Arial"/>
          <w:color w:val="000000" w:themeColor="text1"/>
        </w:rPr>
        <w:t>policy mandates executed by SOEs</w:t>
      </w:r>
      <w:r w:rsidR="4BD2B932" w:rsidRPr="006A7149">
        <w:rPr>
          <w:rFonts w:cs="Arial"/>
          <w:color w:val="000000" w:themeColor="text1"/>
        </w:rPr>
        <w:t>.</w:t>
      </w:r>
      <w:r w:rsidR="54AB551E" w:rsidRPr="006A7149">
        <w:rPr>
          <w:rFonts w:cs="Arial"/>
          <w:color w:val="000000" w:themeColor="text1"/>
        </w:rPr>
        <w:t xml:space="preserve"> </w:t>
      </w:r>
      <w:r w:rsidR="53043C2F" w:rsidRPr="006A7149">
        <w:rPr>
          <w:rFonts w:cs="Arial"/>
          <w:color w:val="000000" w:themeColor="text1"/>
        </w:rPr>
        <w:t>In addition to proving a more s</w:t>
      </w:r>
      <w:r w:rsidR="5D763227" w:rsidRPr="006A7149">
        <w:rPr>
          <w:rFonts w:cs="Arial"/>
          <w:color w:val="000000" w:themeColor="text1"/>
        </w:rPr>
        <w:t>t</w:t>
      </w:r>
      <w:r w:rsidR="53043C2F" w:rsidRPr="006A7149">
        <w:rPr>
          <w:rFonts w:cs="Arial"/>
          <w:color w:val="000000" w:themeColor="text1"/>
        </w:rPr>
        <w:t xml:space="preserve">able </w:t>
      </w:r>
      <w:r w:rsidR="47A1153D" w:rsidRPr="006A7149">
        <w:rPr>
          <w:rFonts w:cs="Arial"/>
          <w:color w:val="000000" w:themeColor="text1"/>
        </w:rPr>
        <w:t>macroeconomic</w:t>
      </w:r>
      <w:r w:rsidR="53043C2F" w:rsidRPr="006A7149">
        <w:rPr>
          <w:rFonts w:cs="Arial"/>
          <w:color w:val="000000" w:themeColor="text1"/>
        </w:rPr>
        <w:t xml:space="preserve"> </w:t>
      </w:r>
      <w:r w:rsidR="4452704B" w:rsidRPr="006A7149">
        <w:rPr>
          <w:rFonts w:cs="Arial"/>
          <w:color w:val="000000" w:themeColor="text1"/>
        </w:rPr>
        <w:t>environment</w:t>
      </w:r>
      <w:r w:rsidR="53043C2F" w:rsidRPr="006A7149">
        <w:rPr>
          <w:rFonts w:cs="Arial"/>
          <w:color w:val="000000" w:themeColor="text1"/>
        </w:rPr>
        <w:t xml:space="preserve">, insulating public exposure to these unplanned fiscal pressures, helps </w:t>
      </w:r>
      <w:r w:rsidR="5E6987E9" w:rsidRPr="006A7149">
        <w:rPr>
          <w:rFonts w:cs="Arial"/>
          <w:color w:val="000000" w:themeColor="text1"/>
        </w:rPr>
        <w:t>minimize</w:t>
      </w:r>
      <w:r w:rsidR="53043C2F" w:rsidRPr="006A7149">
        <w:rPr>
          <w:rFonts w:cs="Arial"/>
          <w:color w:val="000000" w:themeColor="text1"/>
        </w:rPr>
        <w:t xml:space="preserve"> opportunity costs on scarce public resources, effectively creating additional fiscal space for key social spending and public investment priorities.</w:t>
      </w:r>
    </w:p>
    <w:p w14:paraId="026124BF" w14:textId="77777777" w:rsidR="00B7621A" w:rsidRPr="00B7621A" w:rsidRDefault="00B7621A" w:rsidP="00B7621A">
      <w:pPr>
        <w:pStyle w:val="ListParagraph"/>
        <w:ind w:left="0"/>
        <w:jc w:val="both"/>
        <w:rPr>
          <w:rFonts w:cs="Arial"/>
          <w:color w:val="FF0000"/>
        </w:rPr>
      </w:pPr>
    </w:p>
    <w:p w14:paraId="16262436" w14:textId="564C0137" w:rsidR="00B31FE4" w:rsidRDefault="00E202E0" w:rsidP="00B7621A">
      <w:pPr>
        <w:pStyle w:val="ListParagraph"/>
        <w:numPr>
          <w:ilvl w:val="0"/>
          <w:numId w:val="29"/>
        </w:numPr>
        <w:ind w:left="0" w:firstLine="0"/>
        <w:jc w:val="both"/>
        <w:rPr>
          <w:rFonts w:cs="Arial"/>
          <w:color w:val="FF0000"/>
        </w:rPr>
      </w:pPr>
      <w:r w:rsidRPr="00B7621A">
        <w:rPr>
          <w:rFonts w:cs="Arial"/>
          <w:b/>
          <w:bCs/>
        </w:rPr>
        <w:t>T</w:t>
      </w:r>
      <w:r w:rsidR="00E41F69" w:rsidRPr="00B7621A">
        <w:rPr>
          <w:rFonts w:cs="Arial"/>
          <w:b/>
          <w:bCs/>
        </w:rPr>
        <w:t xml:space="preserve">he COVID-19 crisis </w:t>
      </w:r>
      <w:r w:rsidR="009548B5" w:rsidRPr="00B7621A">
        <w:rPr>
          <w:rFonts w:cs="Arial"/>
          <w:b/>
          <w:bCs/>
        </w:rPr>
        <w:t>adversely</w:t>
      </w:r>
      <w:r w:rsidR="00E41F69" w:rsidRPr="00B7621A">
        <w:rPr>
          <w:rFonts w:cs="Arial"/>
          <w:b/>
          <w:bCs/>
        </w:rPr>
        <w:t xml:space="preserve"> impacted </w:t>
      </w:r>
      <w:r w:rsidR="009548B5" w:rsidRPr="00B7621A">
        <w:rPr>
          <w:rFonts w:cs="Arial"/>
          <w:b/>
          <w:bCs/>
        </w:rPr>
        <w:t>social welfare indicators</w:t>
      </w:r>
      <w:r w:rsidR="009548B5" w:rsidRPr="00126A24">
        <w:rPr>
          <w:rFonts w:cs="Arial"/>
        </w:rPr>
        <w:t>.</w:t>
      </w:r>
      <w:r w:rsidR="00F80CB6" w:rsidRPr="00A76D4F">
        <w:rPr>
          <w:rFonts w:cs="Arial"/>
        </w:rPr>
        <w:t xml:space="preserve"> Preliminary  estimate</w:t>
      </w:r>
      <w:r w:rsidR="008E7E31">
        <w:rPr>
          <w:rFonts w:cs="Arial"/>
        </w:rPr>
        <w:t>s</w:t>
      </w:r>
      <w:r w:rsidR="00F80CB6" w:rsidRPr="004D4CCA">
        <w:rPr>
          <w:rFonts w:cs="Arial"/>
        </w:rPr>
        <w:t xml:space="preserve"> carried out by the </w:t>
      </w:r>
      <w:r w:rsidR="006A507D" w:rsidRPr="006A507D">
        <w:rPr>
          <w:rFonts w:cs="Arial"/>
        </w:rPr>
        <w:t>Monitoring, Evaluation and Learning (</w:t>
      </w:r>
      <w:r w:rsidR="00F80CB6" w:rsidRPr="004D4CCA">
        <w:rPr>
          <w:rFonts w:cs="Arial"/>
        </w:rPr>
        <w:t>MEL</w:t>
      </w:r>
      <w:r w:rsidR="006A507D">
        <w:rPr>
          <w:rFonts w:cs="Arial"/>
        </w:rPr>
        <w:t>)</w:t>
      </w:r>
      <w:r w:rsidR="00F80CB6" w:rsidRPr="004D4CCA">
        <w:rPr>
          <w:rFonts w:cs="Arial"/>
        </w:rPr>
        <w:t xml:space="preserve"> Lab suggest that the Anti</w:t>
      </w:r>
      <w:r w:rsidR="002905E8">
        <w:rPr>
          <w:rFonts w:cs="Arial"/>
        </w:rPr>
        <w:t>-</w:t>
      </w:r>
      <w:r w:rsidR="00F80CB6" w:rsidRPr="004D4CCA">
        <w:rPr>
          <w:rFonts w:cs="Arial"/>
        </w:rPr>
        <w:t xml:space="preserve">Crisis plan will mitigate a </w:t>
      </w:r>
      <w:r w:rsidR="00A91EC9">
        <w:rPr>
          <w:rFonts w:cs="Arial"/>
        </w:rPr>
        <w:t>significant</w:t>
      </w:r>
      <w:r w:rsidR="00F80CB6" w:rsidRPr="004D4CCA">
        <w:rPr>
          <w:rFonts w:cs="Arial"/>
        </w:rPr>
        <w:t xml:space="preserve"> surge in poverty incidence and reduction in incomes across the income </w:t>
      </w:r>
      <w:r w:rsidR="00166F45">
        <w:rPr>
          <w:rFonts w:cs="Arial"/>
        </w:rPr>
        <w:t>groups</w:t>
      </w:r>
      <w:r w:rsidR="00303A8B">
        <w:rPr>
          <w:rFonts w:cs="Arial"/>
        </w:rPr>
        <w:t xml:space="preserve">. </w:t>
      </w:r>
      <w:r w:rsidR="00D4067D">
        <w:rPr>
          <w:rFonts w:cs="Arial"/>
        </w:rPr>
        <w:t>W</w:t>
      </w:r>
      <w:r w:rsidR="00F80CB6" w:rsidRPr="004D4CCA">
        <w:rPr>
          <w:rFonts w:cs="Arial"/>
        </w:rPr>
        <w:t>hile the impact of the COVID</w:t>
      </w:r>
      <w:r w:rsidR="001175F3">
        <w:rPr>
          <w:rFonts w:cs="Arial"/>
        </w:rPr>
        <w:t>-</w:t>
      </w:r>
      <w:r w:rsidR="00F80CB6" w:rsidRPr="004D4CCA">
        <w:rPr>
          <w:rFonts w:cs="Arial"/>
        </w:rPr>
        <w:t>19 crisis would have certainly been significantly worse if there were no Anti</w:t>
      </w:r>
      <w:r w:rsidR="004C5347">
        <w:rPr>
          <w:rFonts w:cs="Arial"/>
        </w:rPr>
        <w:t>-</w:t>
      </w:r>
      <w:r w:rsidR="00F80CB6" w:rsidRPr="004D4CCA">
        <w:rPr>
          <w:rFonts w:cs="Arial"/>
        </w:rPr>
        <w:t>Crisis Plan in place, both poverty rates are expected to increase in 2020</w:t>
      </w:r>
      <w:r w:rsidR="00EC7EA4" w:rsidRPr="001F2E70">
        <w:rPr>
          <w:rFonts w:cs="Arial"/>
        </w:rPr>
        <w:t xml:space="preserve"> across the income distribution curve</w:t>
      </w:r>
      <w:r w:rsidR="00141039" w:rsidRPr="00806D72">
        <w:rPr>
          <w:rFonts w:cs="Arial"/>
        </w:rPr>
        <w:t xml:space="preserve"> (Table 1)</w:t>
      </w:r>
      <w:r w:rsidR="00F80CB6" w:rsidRPr="00E128AE">
        <w:rPr>
          <w:rFonts w:cs="Arial"/>
        </w:rPr>
        <w:t xml:space="preserve">. </w:t>
      </w:r>
    </w:p>
    <w:p w14:paraId="3186D264" w14:textId="77777777" w:rsidR="00C557FA" w:rsidRPr="00C557FA" w:rsidRDefault="00C557FA" w:rsidP="00C557FA">
      <w:pPr>
        <w:pStyle w:val="ListParagraph"/>
        <w:ind w:left="0"/>
        <w:jc w:val="both"/>
        <w:rPr>
          <w:rFonts w:cs="Arial"/>
          <w:color w:val="FF0000"/>
        </w:rPr>
      </w:pPr>
    </w:p>
    <w:p w14:paraId="50E21A65" w14:textId="142C8500" w:rsidR="00CC36E4" w:rsidRPr="00B7621A" w:rsidRDefault="00CC36E4" w:rsidP="00B7621A">
      <w:pPr>
        <w:pStyle w:val="Caption"/>
        <w:keepNext/>
        <w:spacing w:after="0"/>
        <w:jc w:val="center"/>
        <w:rPr>
          <w:b/>
        </w:rPr>
      </w:pPr>
      <w:r w:rsidRPr="00B7621A">
        <w:rPr>
          <w:rFonts w:ascii="Arial" w:hAnsi="Arial" w:cs="Arial"/>
          <w:b/>
          <w:i w:val="0"/>
          <w:color w:val="auto"/>
          <w:sz w:val="22"/>
          <w:szCs w:val="22"/>
        </w:rPr>
        <w:t xml:space="preserve">Table </w:t>
      </w:r>
      <w:r w:rsidRPr="00B7621A">
        <w:rPr>
          <w:rFonts w:ascii="Arial" w:hAnsi="Arial" w:cs="Arial"/>
          <w:b/>
          <w:i w:val="0"/>
          <w:color w:val="auto"/>
          <w:sz w:val="22"/>
          <w:szCs w:val="22"/>
        </w:rPr>
        <w:fldChar w:fldCharType="begin"/>
      </w:r>
      <w:r w:rsidRPr="00B7621A">
        <w:rPr>
          <w:rFonts w:ascii="Arial" w:hAnsi="Arial" w:cs="Arial"/>
          <w:b/>
          <w:i w:val="0"/>
          <w:color w:val="auto"/>
          <w:sz w:val="22"/>
          <w:szCs w:val="22"/>
        </w:rPr>
        <w:instrText xml:space="preserve"> SEQ Table \* ARABIC </w:instrText>
      </w:r>
      <w:r w:rsidRPr="00B7621A">
        <w:rPr>
          <w:rFonts w:ascii="Arial" w:hAnsi="Arial" w:cs="Arial"/>
          <w:b/>
          <w:i w:val="0"/>
          <w:color w:val="auto"/>
          <w:sz w:val="22"/>
          <w:szCs w:val="22"/>
        </w:rPr>
        <w:fldChar w:fldCharType="separate"/>
      </w:r>
      <w:r w:rsidRPr="00B7621A">
        <w:rPr>
          <w:rFonts w:ascii="Arial" w:hAnsi="Arial" w:cs="Arial"/>
          <w:b/>
          <w:i w:val="0"/>
          <w:color w:val="auto"/>
          <w:sz w:val="22"/>
          <w:szCs w:val="22"/>
        </w:rPr>
        <w:t>1</w:t>
      </w:r>
      <w:r w:rsidRPr="00B7621A">
        <w:rPr>
          <w:rFonts w:ascii="Arial" w:hAnsi="Arial" w:cs="Arial"/>
          <w:b/>
          <w:i w:val="0"/>
          <w:color w:val="auto"/>
          <w:sz w:val="22"/>
          <w:szCs w:val="22"/>
        </w:rPr>
        <w:fldChar w:fldCharType="end"/>
      </w:r>
      <w:r w:rsidRPr="00B7621A">
        <w:rPr>
          <w:rFonts w:ascii="Arial" w:hAnsi="Arial" w:cs="Arial"/>
          <w:b/>
          <w:i w:val="0"/>
          <w:color w:val="auto"/>
          <w:sz w:val="22"/>
          <w:szCs w:val="22"/>
        </w:rPr>
        <w:t xml:space="preserve">: </w:t>
      </w:r>
      <w:r w:rsidR="00454269" w:rsidRPr="00814FF9">
        <w:rPr>
          <w:rFonts w:ascii="Arial" w:hAnsi="Arial" w:cs="Arial"/>
          <w:b/>
          <w:i w:val="0"/>
          <w:color w:val="auto"/>
          <w:sz w:val="22"/>
          <w:szCs w:val="22"/>
        </w:rPr>
        <w:t>Impact of</w:t>
      </w:r>
      <w:r w:rsidRPr="00B7621A">
        <w:rPr>
          <w:rFonts w:ascii="Arial" w:hAnsi="Arial" w:cs="Arial"/>
          <w:b/>
          <w:i w:val="0"/>
          <w:color w:val="auto"/>
          <w:sz w:val="22"/>
          <w:szCs w:val="22"/>
        </w:rPr>
        <w:t xml:space="preserve"> COVID-19 </w:t>
      </w:r>
      <w:r w:rsidR="00454269" w:rsidRPr="00814FF9">
        <w:rPr>
          <w:rFonts w:ascii="Arial" w:hAnsi="Arial" w:cs="Arial"/>
          <w:b/>
          <w:i w:val="0"/>
          <w:color w:val="auto"/>
          <w:sz w:val="22"/>
          <w:szCs w:val="22"/>
        </w:rPr>
        <w:t>on Poverty Incidence Under Different Scenarios</w:t>
      </w:r>
    </w:p>
    <w:tbl>
      <w:tblPr>
        <w:tblStyle w:val="PlainTable2"/>
        <w:tblW w:w="9360" w:type="dxa"/>
        <w:tblLook w:val="04A0" w:firstRow="1" w:lastRow="0" w:firstColumn="1" w:lastColumn="0" w:noHBand="0" w:noVBand="1"/>
      </w:tblPr>
      <w:tblGrid>
        <w:gridCol w:w="1800"/>
        <w:gridCol w:w="2250"/>
        <w:gridCol w:w="1327"/>
        <w:gridCol w:w="1328"/>
        <w:gridCol w:w="1327"/>
        <w:gridCol w:w="1328"/>
      </w:tblGrid>
      <w:tr w:rsidR="00DD5819" w:rsidRPr="001929DB" w14:paraId="0293F3C2" w14:textId="77777777" w:rsidTr="00B762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0C755A17" w14:textId="77777777" w:rsidR="00CC36E4" w:rsidRPr="009B6EC4" w:rsidRDefault="00CC36E4">
            <w:pPr>
              <w:rPr>
                <w:rFonts w:cs="Arial"/>
                <w:sz w:val="18"/>
                <w:szCs w:val="18"/>
              </w:rPr>
            </w:pPr>
          </w:p>
        </w:tc>
        <w:tc>
          <w:tcPr>
            <w:tcW w:w="2250" w:type="dxa"/>
            <w:hideMark/>
          </w:tcPr>
          <w:p w14:paraId="0D0DE1CD" w14:textId="77777777" w:rsidR="00CC36E4" w:rsidRPr="009B6EC4" w:rsidRDefault="00CC36E4" w:rsidP="00B340DD">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9B6EC4">
              <w:rPr>
                <w:rFonts w:cs="Arial"/>
                <w:sz w:val="18"/>
                <w:szCs w:val="18"/>
              </w:rPr>
              <w:t>National Poverty Line</w:t>
            </w:r>
          </w:p>
        </w:tc>
        <w:tc>
          <w:tcPr>
            <w:tcW w:w="1327" w:type="dxa"/>
            <w:hideMark/>
          </w:tcPr>
          <w:p w14:paraId="689C26D9" w14:textId="77777777" w:rsidR="00CC36E4" w:rsidRPr="009B6EC4" w:rsidRDefault="00CC36E4" w:rsidP="00B340DD">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9B6EC4">
              <w:rPr>
                <w:rFonts w:cs="Arial"/>
                <w:sz w:val="18"/>
                <w:szCs w:val="18"/>
              </w:rPr>
              <w:t>$1.9 PPP</w:t>
            </w:r>
          </w:p>
        </w:tc>
        <w:tc>
          <w:tcPr>
            <w:tcW w:w="1328" w:type="dxa"/>
            <w:hideMark/>
          </w:tcPr>
          <w:p w14:paraId="498B4792" w14:textId="77777777" w:rsidR="00CC36E4" w:rsidRPr="009B6EC4" w:rsidRDefault="00CC36E4" w:rsidP="00B340DD">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9B6EC4">
              <w:rPr>
                <w:rFonts w:cs="Arial"/>
                <w:sz w:val="18"/>
                <w:szCs w:val="18"/>
              </w:rPr>
              <w:t>$3.2 PPP</w:t>
            </w:r>
          </w:p>
        </w:tc>
        <w:tc>
          <w:tcPr>
            <w:tcW w:w="1327" w:type="dxa"/>
            <w:hideMark/>
          </w:tcPr>
          <w:p w14:paraId="7F4585BA" w14:textId="77777777" w:rsidR="00CC36E4" w:rsidRPr="009B6EC4" w:rsidRDefault="00CC36E4" w:rsidP="00B340DD">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9B6EC4">
              <w:rPr>
                <w:rFonts w:cs="Arial"/>
                <w:sz w:val="18"/>
                <w:szCs w:val="18"/>
              </w:rPr>
              <w:t>$5.5 PPP</w:t>
            </w:r>
          </w:p>
        </w:tc>
        <w:tc>
          <w:tcPr>
            <w:tcW w:w="1328" w:type="dxa"/>
            <w:hideMark/>
          </w:tcPr>
          <w:p w14:paraId="29281AAC" w14:textId="77777777" w:rsidR="00CC36E4" w:rsidRPr="009B6EC4" w:rsidRDefault="00CC36E4" w:rsidP="00B340DD">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9B6EC4">
              <w:rPr>
                <w:rFonts w:cs="Arial"/>
                <w:sz w:val="18"/>
                <w:szCs w:val="18"/>
              </w:rPr>
              <w:t>$10 PPP</w:t>
            </w:r>
          </w:p>
        </w:tc>
      </w:tr>
      <w:tr w:rsidR="00DD5819" w14:paraId="26856D17" w14:textId="77777777" w:rsidTr="00B76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hideMark/>
          </w:tcPr>
          <w:p w14:paraId="00FB0098" w14:textId="77777777" w:rsidR="00CC36E4" w:rsidRPr="009B6EC4" w:rsidRDefault="00CC36E4">
            <w:pPr>
              <w:rPr>
                <w:rFonts w:cs="Arial"/>
                <w:b w:val="0"/>
                <w:sz w:val="18"/>
                <w:szCs w:val="18"/>
              </w:rPr>
            </w:pPr>
            <w:r w:rsidRPr="009B6EC4">
              <w:rPr>
                <w:rFonts w:cs="Arial"/>
                <w:sz w:val="18"/>
                <w:szCs w:val="18"/>
              </w:rPr>
              <w:lastRenderedPageBreak/>
              <w:t>Baseline</w:t>
            </w:r>
          </w:p>
        </w:tc>
        <w:tc>
          <w:tcPr>
            <w:tcW w:w="2250" w:type="dxa"/>
            <w:hideMark/>
          </w:tcPr>
          <w:p w14:paraId="385273A8" w14:textId="77777777" w:rsidR="00CC36E4" w:rsidRPr="009B6EC4" w:rsidRDefault="00CC36E4" w:rsidP="00B7621A">
            <w:pPr>
              <w:tabs>
                <w:tab w:val="left" w:pos="1150"/>
              </w:tabs>
              <w:ind w:left="-380" w:right="79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9B6EC4">
              <w:rPr>
                <w:rFonts w:cs="Arial"/>
                <w:sz w:val="18"/>
                <w:szCs w:val="18"/>
              </w:rPr>
              <w:t>19.5</w:t>
            </w:r>
          </w:p>
        </w:tc>
        <w:tc>
          <w:tcPr>
            <w:tcW w:w="1327" w:type="dxa"/>
            <w:hideMark/>
          </w:tcPr>
          <w:p w14:paraId="4E2BB37D" w14:textId="77777777" w:rsidR="00CC36E4" w:rsidRPr="009B6EC4" w:rsidRDefault="00CC36E4" w:rsidP="00B7621A">
            <w:pPr>
              <w:ind w:right="41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9B6EC4">
              <w:rPr>
                <w:rFonts w:cs="Arial"/>
                <w:sz w:val="18"/>
                <w:szCs w:val="18"/>
              </w:rPr>
              <w:t>4.5</w:t>
            </w:r>
          </w:p>
        </w:tc>
        <w:tc>
          <w:tcPr>
            <w:tcW w:w="1328" w:type="dxa"/>
            <w:hideMark/>
          </w:tcPr>
          <w:p w14:paraId="7D91A9BC" w14:textId="77777777" w:rsidR="00CC36E4" w:rsidRPr="009B6EC4" w:rsidRDefault="00CC36E4" w:rsidP="00B7621A">
            <w:pPr>
              <w:ind w:right="39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9B6EC4">
              <w:rPr>
                <w:rFonts w:cs="Arial"/>
                <w:sz w:val="18"/>
                <w:szCs w:val="18"/>
              </w:rPr>
              <w:t>15.7</w:t>
            </w:r>
          </w:p>
        </w:tc>
        <w:tc>
          <w:tcPr>
            <w:tcW w:w="1327" w:type="dxa"/>
            <w:hideMark/>
          </w:tcPr>
          <w:p w14:paraId="58297DA4" w14:textId="77777777" w:rsidR="00CC36E4" w:rsidRPr="009B6EC4" w:rsidRDefault="00CC36E4" w:rsidP="00B7621A">
            <w:pPr>
              <w:ind w:right="36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9B6EC4">
              <w:rPr>
                <w:rFonts w:cs="Arial"/>
                <w:sz w:val="18"/>
                <w:szCs w:val="18"/>
              </w:rPr>
              <w:t>42.9</w:t>
            </w:r>
          </w:p>
        </w:tc>
        <w:tc>
          <w:tcPr>
            <w:tcW w:w="1328" w:type="dxa"/>
            <w:hideMark/>
          </w:tcPr>
          <w:p w14:paraId="4AC5EF98" w14:textId="77777777" w:rsidR="00CC36E4" w:rsidRPr="009B6EC4" w:rsidRDefault="00CC36E4" w:rsidP="00B7621A">
            <w:pPr>
              <w:ind w:right="34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9B6EC4">
              <w:rPr>
                <w:rFonts w:cs="Arial"/>
                <w:sz w:val="18"/>
                <w:szCs w:val="18"/>
              </w:rPr>
              <w:t>77.9</w:t>
            </w:r>
          </w:p>
        </w:tc>
      </w:tr>
      <w:tr w:rsidR="00DD5819" w14:paraId="62404A49" w14:textId="77777777" w:rsidTr="00B7621A">
        <w:tc>
          <w:tcPr>
            <w:cnfStyle w:val="001000000000" w:firstRow="0" w:lastRow="0" w:firstColumn="1" w:lastColumn="0" w:oddVBand="0" w:evenVBand="0" w:oddHBand="0" w:evenHBand="0" w:firstRowFirstColumn="0" w:firstRowLastColumn="0" w:lastRowFirstColumn="0" w:lastRowLastColumn="0"/>
            <w:tcW w:w="1800" w:type="dxa"/>
            <w:hideMark/>
          </w:tcPr>
          <w:p w14:paraId="67B6E125" w14:textId="77777777" w:rsidR="00CC36E4" w:rsidRPr="009B6EC4" w:rsidRDefault="00CC36E4">
            <w:pPr>
              <w:rPr>
                <w:rFonts w:cs="Arial"/>
                <w:b w:val="0"/>
                <w:sz w:val="18"/>
                <w:szCs w:val="18"/>
              </w:rPr>
            </w:pPr>
            <w:r w:rsidRPr="009B6EC4">
              <w:rPr>
                <w:rFonts w:cs="Arial"/>
                <w:sz w:val="18"/>
                <w:szCs w:val="18"/>
              </w:rPr>
              <w:t>Lockdown</w:t>
            </w:r>
          </w:p>
        </w:tc>
        <w:tc>
          <w:tcPr>
            <w:tcW w:w="2250" w:type="dxa"/>
            <w:hideMark/>
          </w:tcPr>
          <w:p w14:paraId="6DE847D1" w14:textId="77777777" w:rsidR="00CC36E4" w:rsidRPr="009B6EC4" w:rsidRDefault="00CC36E4" w:rsidP="00B7621A">
            <w:pPr>
              <w:tabs>
                <w:tab w:val="left" w:pos="1150"/>
              </w:tabs>
              <w:ind w:left="-380" w:right="79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B6EC4">
              <w:rPr>
                <w:rFonts w:cs="Arial"/>
                <w:sz w:val="18"/>
                <w:szCs w:val="18"/>
              </w:rPr>
              <w:t>43.3</w:t>
            </w:r>
          </w:p>
        </w:tc>
        <w:tc>
          <w:tcPr>
            <w:tcW w:w="1327" w:type="dxa"/>
            <w:hideMark/>
          </w:tcPr>
          <w:p w14:paraId="0318150A" w14:textId="77777777" w:rsidR="00CC36E4" w:rsidRPr="009B6EC4" w:rsidRDefault="00CC36E4" w:rsidP="00B7621A">
            <w:pPr>
              <w:ind w:right="41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B6EC4">
              <w:rPr>
                <w:rFonts w:cs="Arial"/>
                <w:sz w:val="18"/>
                <w:szCs w:val="18"/>
              </w:rPr>
              <w:t>19.9</w:t>
            </w:r>
          </w:p>
        </w:tc>
        <w:tc>
          <w:tcPr>
            <w:tcW w:w="1328" w:type="dxa"/>
            <w:hideMark/>
          </w:tcPr>
          <w:p w14:paraId="4DEBDAB4" w14:textId="77777777" w:rsidR="00CC36E4" w:rsidRPr="009B6EC4" w:rsidRDefault="00CC36E4" w:rsidP="00B7621A">
            <w:pPr>
              <w:ind w:right="39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B6EC4">
              <w:rPr>
                <w:rFonts w:cs="Arial"/>
                <w:sz w:val="18"/>
                <w:szCs w:val="18"/>
              </w:rPr>
              <w:t>37.5</w:t>
            </w:r>
          </w:p>
        </w:tc>
        <w:tc>
          <w:tcPr>
            <w:tcW w:w="1327" w:type="dxa"/>
            <w:hideMark/>
          </w:tcPr>
          <w:p w14:paraId="6C31FC77" w14:textId="28826B73" w:rsidR="00CC36E4" w:rsidRPr="009B6EC4" w:rsidRDefault="00CC36E4" w:rsidP="00B7621A">
            <w:pPr>
              <w:ind w:right="36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B6EC4">
              <w:rPr>
                <w:rFonts w:cs="Arial"/>
                <w:sz w:val="18"/>
                <w:szCs w:val="18"/>
              </w:rPr>
              <w:t>63</w:t>
            </w:r>
            <w:r w:rsidR="00B340DD" w:rsidRPr="009B6EC4">
              <w:rPr>
                <w:rFonts w:cs="Arial"/>
                <w:sz w:val="18"/>
                <w:szCs w:val="18"/>
              </w:rPr>
              <w:t>.0</w:t>
            </w:r>
          </w:p>
        </w:tc>
        <w:tc>
          <w:tcPr>
            <w:tcW w:w="1328" w:type="dxa"/>
            <w:hideMark/>
          </w:tcPr>
          <w:p w14:paraId="54AF403D" w14:textId="77777777" w:rsidR="00CC36E4" w:rsidRPr="009B6EC4" w:rsidRDefault="00CC36E4" w:rsidP="00B7621A">
            <w:pPr>
              <w:ind w:right="3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B6EC4">
              <w:rPr>
                <w:rFonts w:cs="Arial"/>
                <w:sz w:val="18"/>
                <w:szCs w:val="18"/>
              </w:rPr>
              <w:t>87.7</w:t>
            </w:r>
          </w:p>
        </w:tc>
      </w:tr>
      <w:tr w:rsidR="00DD5819" w14:paraId="52620ACB" w14:textId="77777777" w:rsidTr="00B76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hideMark/>
          </w:tcPr>
          <w:p w14:paraId="576EC276" w14:textId="74DAD5BC" w:rsidR="00CC36E4" w:rsidRPr="009B6EC4" w:rsidRDefault="00CC36E4">
            <w:pPr>
              <w:rPr>
                <w:rFonts w:cs="Arial"/>
                <w:b w:val="0"/>
                <w:sz w:val="18"/>
                <w:szCs w:val="18"/>
              </w:rPr>
            </w:pPr>
            <w:r w:rsidRPr="009B6EC4">
              <w:rPr>
                <w:rFonts w:cs="Arial"/>
                <w:sz w:val="18"/>
                <w:szCs w:val="18"/>
              </w:rPr>
              <w:t>Anti</w:t>
            </w:r>
            <w:r w:rsidR="00EC7EA4" w:rsidRPr="009B6EC4">
              <w:rPr>
                <w:rFonts w:cs="Arial"/>
                <w:b w:val="0"/>
                <w:sz w:val="18"/>
                <w:szCs w:val="18"/>
              </w:rPr>
              <w:t>-</w:t>
            </w:r>
            <w:r w:rsidRPr="009B6EC4">
              <w:rPr>
                <w:rFonts w:cs="Arial"/>
                <w:sz w:val="18"/>
                <w:szCs w:val="18"/>
              </w:rPr>
              <w:t>Crisis Plan</w:t>
            </w:r>
          </w:p>
        </w:tc>
        <w:tc>
          <w:tcPr>
            <w:tcW w:w="2250" w:type="dxa"/>
            <w:hideMark/>
          </w:tcPr>
          <w:p w14:paraId="4F2710F1" w14:textId="77777777" w:rsidR="00CC36E4" w:rsidRPr="009B6EC4" w:rsidRDefault="00CC36E4" w:rsidP="00B7621A">
            <w:pPr>
              <w:tabs>
                <w:tab w:val="left" w:pos="1150"/>
              </w:tabs>
              <w:ind w:left="-380" w:right="79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9B6EC4">
              <w:rPr>
                <w:rFonts w:cs="Arial"/>
                <w:sz w:val="18"/>
                <w:szCs w:val="18"/>
              </w:rPr>
              <w:t>28.5</w:t>
            </w:r>
          </w:p>
        </w:tc>
        <w:tc>
          <w:tcPr>
            <w:tcW w:w="1327" w:type="dxa"/>
            <w:hideMark/>
          </w:tcPr>
          <w:p w14:paraId="28C1D2DB" w14:textId="77777777" w:rsidR="00CC36E4" w:rsidRPr="009B6EC4" w:rsidRDefault="00CC36E4" w:rsidP="00B7621A">
            <w:pPr>
              <w:ind w:right="41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9B6EC4">
              <w:rPr>
                <w:rFonts w:cs="Arial"/>
                <w:sz w:val="18"/>
                <w:szCs w:val="18"/>
              </w:rPr>
              <w:t>8.6</w:t>
            </w:r>
          </w:p>
        </w:tc>
        <w:tc>
          <w:tcPr>
            <w:tcW w:w="1328" w:type="dxa"/>
            <w:hideMark/>
          </w:tcPr>
          <w:p w14:paraId="2EC2E537" w14:textId="77777777" w:rsidR="00CC36E4" w:rsidRPr="009B6EC4" w:rsidRDefault="00CC36E4" w:rsidP="00B7621A">
            <w:pPr>
              <w:ind w:right="39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9B6EC4">
              <w:rPr>
                <w:rFonts w:cs="Arial"/>
                <w:sz w:val="18"/>
                <w:szCs w:val="18"/>
              </w:rPr>
              <w:t>23</w:t>
            </w:r>
          </w:p>
        </w:tc>
        <w:tc>
          <w:tcPr>
            <w:tcW w:w="1327" w:type="dxa"/>
            <w:hideMark/>
          </w:tcPr>
          <w:p w14:paraId="05E037AA" w14:textId="77777777" w:rsidR="00CC36E4" w:rsidRPr="009B6EC4" w:rsidRDefault="00CC36E4" w:rsidP="00B7621A">
            <w:pPr>
              <w:ind w:right="36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9B6EC4">
              <w:rPr>
                <w:rFonts w:cs="Arial"/>
                <w:sz w:val="18"/>
                <w:szCs w:val="18"/>
              </w:rPr>
              <w:t>49.7</w:t>
            </w:r>
          </w:p>
        </w:tc>
        <w:tc>
          <w:tcPr>
            <w:tcW w:w="1328" w:type="dxa"/>
            <w:hideMark/>
          </w:tcPr>
          <w:p w14:paraId="05C42F95" w14:textId="77777777" w:rsidR="00CC36E4" w:rsidRPr="009B6EC4" w:rsidRDefault="00CC36E4" w:rsidP="00B7621A">
            <w:pPr>
              <w:ind w:right="34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9B6EC4">
              <w:rPr>
                <w:rFonts w:cs="Arial"/>
                <w:sz w:val="18"/>
                <w:szCs w:val="18"/>
              </w:rPr>
              <w:t>80.1</w:t>
            </w:r>
          </w:p>
        </w:tc>
      </w:tr>
      <w:tr w:rsidR="00DD5819" w14:paraId="2812FAA0" w14:textId="77777777" w:rsidTr="00B7621A">
        <w:tc>
          <w:tcPr>
            <w:cnfStyle w:val="001000000000" w:firstRow="0" w:lastRow="0" w:firstColumn="1" w:lastColumn="0" w:oddVBand="0" w:evenVBand="0" w:oddHBand="0" w:evenHBand="0" w:firstRowFirstColumn="0" w:firstRowLastColumn="0" w:lastRowFirstColumn="0" w:lastRowLastColumn="0"/>
            <w:tcW w:w="1800" w:type="dxa"/>
            <w:hideMark/>
          </w:tcPr>
          <w:p w14:paraId="1644F945" w14:textId="7DECF8BB" w:rsidR="00CC36E4" w:rsidRPr="009B6EC4" w:rsidRDefault="00CC36E4">
            <w:pPr>
              <w:rPr>
                <w:rFonts w:cs="Arial"/>
                <w:b w:val="0"/>
                <w:sz w:val="18"/>
                <w:szCs w:val="18"/>
              </w:rPr>
            </w:pPr>
            <w:r w:rsidRPr="009B6EC4">
              <w:rPr>
                <w:rFonts w:cs="Arial"/>
                <w:sz w:val="18"/>
                <w:szCs w:val="18"/>
              </w:rPr>
              <w:t>Mitigating impact</w:t>
            </w:r>
            <w:r w:rsidR="00A749D3" w:rsidRPr="009B6EC4">
              <w:rPr>
                <w:rFonts w:cs="Arial"/>
                <w:b w:val="0"/>
                <w:sz w:val="18"/>
                <w:szCs w:val="18"/>
              </w:rPr>
              <w:t xml:space="preserve"> </w:t>
            </w:r>
          </w:p>
        </w:tc>
        <w:tc>
          <w:tcPr>
            <w:tcW w:w="2250" w:type="dxa"/>
            <w:hideMark/>
          </w:tcPr>
          <w:p w14:paraId="6F1B98A4" w14:textId="77777777" w:rsidR="00CC36E4" w:rsidRPr="009B6EC4" w:rsidRDefault="00CC36E4" w:rsidP="00B7621A">
            <w:pPr>
              <w:tabs>
                <w:tab w:val="left" w:pos="1150"/>
              </w:tabs>
              <w:ind w:left="-380" w:right="790"/>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9B6EC4">
              <w:rPr>
                <w:rFonts w:cs="Arial"/>
                <w:b/>
                <w:sz w:val="18"/>
                <w:szCs w:val="18"/>
              </w:rPr>
              <w:t>14.8</w:t>
            </w:r>
          </w:p>
        </w:tc>
        <w:tc>
          <w:tcPr>
            <w:tcW w:w="1327" w:type="dxa"/>
            <w:hideMark/>
          </w:tcPr>
          <w:p w14:paraId="10BBBDD9" w14:textId="77777777" w:rsidR="00CC36E4" w:rsidRPr="009B6EC4" w:rsidRDefault="00CC36E4" w:rsidP="00B7621A">
            <w:pPr>
              <w:ind w:right="410"/>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9B6EC4">
              <w:rPr>
                <w:rFonts w:cs="Arial"/>
                <w:b/>
                <w:sz w:val="18"/>
                <w:szCs w:val="18"/>
              </w:rPr>
              <w:t>11.3</w:t>
            </w:r>
          </w:p>
        </w:tc>
        <w:tc>
          <w:tcPr>
            <w:tcW w:w="1328" w:type="dxa"/>
            <w:hideMark/>
          </w:tcPr>
          <w:p w14:paraId="0D6EE176" w14:textId="77777777" w:rsidR="00CC36E4" w:rsidRPr="009B6EC4" w:rsidRDefault="00CC36E4" w:rsidP="00B7621A">
            <w:pPr>
              <w:ind w:right="390"/>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9B6EC4">
              <w:rPr>
                <w:rFonts w:cs="Arial"/>
                <w:b/>
                <w:sz w:val="18"/>
                <w:szCs w:val="18"/>
              </w:rPr>
              <w:t>14.5</w:t>
            </w:r>
          </w:p>
        </w:tc>
        <w:tc>
          <w:tcPr>
            <w:tcW w:w="1327" w:type="dxa"/>
            <w:hideMark/>
          </w:tcPr>
          <w:p w14:paraId="71CC251C" w14:textId="77777777" w:rsidR="00CC36E4" w:rsidRPr="009B6EC4" w:rsidRDefault="00CC36E4" w:rsidP="00B7621A">
            <w:pPr>
              <w:ind w:right="360"/>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9B6EC4">
              <w:rPr>
                <w:rFonts w:cs="Arial"/>
                <w:b/>
                <w:sz w:val="18"/>
                <w:szCs w:val="18"/>
              </w:rPr>
              <w:t>13.3</w:t>
            </w:r>
          </w:p>
        </w:tc>
        <w:tc>
          <w:tcPr>
            <w:tcW w:w="1328" w:type="dxa"/>
            <w:hideMark/>
          </w:tcPr>
          <w:p w14:paraId="3FB89AAF" w14:textId="77777777" w:rsidR="00CC36E4" w:rsidRPr="009B6EC4" w:rsidRDefault="00CC36E4" w:rsidP="00B7621A">
            <w:pPr>
              <w:ind w:right="340"/>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9B6EC4">
              <w:rPr>
                <w:rFonts w:cs="Arial"/>
                <w:b/>
                <w:sz w:val="18"/>
                <w:szCs w:val="18"/>
              </w:rPr>
              <w:t>7.6</w:t>
            </w:r>
          </w:p>
        </w:tc>
      </w:tr>
    </w:tbl>
    <w:p w14:paraId="5CBD8CEE" w14:textId="72423358" w:rsidR="00D375B3" w:rsidRDefault="00B148B1">
      <w:pPr>
        <w:rPr>
          <w:rFonts w:cs="Arial"/>
          <w:sz w:val="18"/>
          <w:szCs w:val="18"/>
        </w:rPr>
      </w:pPr>
      <w:r>
        <w:rPr>
          <w:rFonts w:cs="Arial"/>
          <w:sz w:val="18"/>
          <w:szCs w:val="18"/>
        </w:rPr>
        <w:t>COVID-19</w:t>
      </w:r>
      <w:r w:rsidR="00DC1270">
        <w:rPr>
          <w:rFonts w:cs="Arial"/>
          <w:sz w:val="18"/>
          <w:szCs w:val="18"/>
        </w:rPr>
        <w:t xml:space="preserve"> = coronavirus disease, </w:t>
      </w:r>
      <w:r w:rsidR="00D375B3">
        <w:rPr>
          <w:rFonts w:cs="Arial"/>
          <w:sz w:val="18"/>
          <w:szCs w:val="18"/>
        </w:rPr>
        <w:t>PPP = power purchas</w:t>
      </w:r>
      <w:r w:rsidR="00C557FA">
        <w:rPr>
          <w:rFonts w:cs="Arial"/>
          <w:sz w:val="18"/>
          <w:szCs w:val="18"/>
        </w:rPr>
        <w:t>asing</w:t>
      </w:r>
      <w:r w:rsidR="00D375B3">
        <w:rPr>
          <w:rFonts w:cs="Arial"/>
          <w:sz w:val="18"/>
          <w:szCs w:val="18"/>
        </w:rPr>
        <w:t xml:space="preserve"> parity.</w:t>
      </w:r>
    </w:p>
    <w:p w14:paraId="0A4A641B" w14:textId="6FCD45C6" w:rsidR="008D7979" w:rsidRPr="00B7621A" w:rsidRDefault="00EC7EA4" w:rsidP="00B7621A">
      <w:pPr>
        <w:rPr>
          <w:rFonts w:cs="Arial"/>
          <w:sz w:val="18"/>
          <w:szCs w:val="18"/>
        </w:rPr>
      </w:pPr>
      <w:r w:rsidRPr="00B7621A">
        <w:rPr>
          <w:rFonts w:cs="Arial"/>
          <w:sz w:val="18"/>
          <w:szCs w:val="18"/>
        </w:rPr>
        <w:t xml:space="preserve">Source: ADB </w:t>
      </w:r>
      <w:r w:rsidR="00FC2DD3">
        <w:rPr>
          <w:rFonts w:cs="Arial"/>
          <w:sz w:val="18"/>
          <w:szCs w:val="18"/>
        </w:rPr>
        <w:t>e</w:t>
      </w:r>
      <w:r w:rsidRPr="00B7621A">
        <w:rPr>
          <w:rFonts w:cs="Arial"/>
          <w:sz w:val="18"/>
          <w:szCs w:val="18"/>
        </w:rPr>
        <w:t>stimates</w:t>
      </w:r>
      <w:r w:rsidR="001929DB">
        <w:rPr>
          <w:rFonts w:cs="Arial"/>
          <w:sz w:val="18"/>
          <w:szCs w:val="18"/>
        </w:rPr>
        <w:t>.</w:t>
      </w:r>
    </w:p>
    <w:p w14:paraId="01CCA96A" w14:textId="77777777" w:rsidR="001E7F56" w:rsidRPr="001E7F56" w:rsidRDefault="001E7F56" w:rsidP="00C622EC">
      <w:pPr>
        <w:rPr>
          <w:rFonts w:cs="Arial"/>
          <w:color w:val="FF0000"/>
        </w:rPr>
      </w:pPr>
    </w:p>
    <w:p w14:paraId="7C5C462A" w14:textId="0A81E867" w:rsidR="00D5295B" w:rsidRPr="00920EFC" w:rsidRDefault="00D5295B" w:rsidP="00D5295B">
      <w:pPr>
        <w:pStyle w:val="ListParagraph"/>
        <w:numPr>
          <w:ilvl w:val="0"/>
          <w:numId w:val="29"/>
        </w:numPr>
        <w:ind w:left="0" w:firstLine="0"/>
        <w:jc w:val="both"/>
        <w:rPr>
          <w:rFonts w:cs="Arial"/>
          <w:color w:val="FF0000"/>
        </w:rPr>
      </w:pPr>
      <w:r>
        <w:rPr>
          <w:rFonts w:cs="Arial"/>
          <w:b/>
          <w:bCs/>
          <w:color w:val="000000" w:themeColor="text1"/>
        </w:rPr>
        <w:t xml:space="preserve">Structural and institutional reforms to the pension system are needed to protect the livelihoods of </w:t>
      </w:r>
      <w:r w:rsidR="007347AF">
        <w:rPr>
          <w:rFonts w:cs="Arial"/>
          <w:b/>
          <w:bCs/>
          <w:color w:val="000000" w:themeColor="text1"/>
        </w:rPr>
        <w:t>older adults</w:t>
      </w:r>
      <w:r>
        <w:rPr>
          <w:rFonts w:cs="Arial"/>
          <w:b/>
          <w:bCs/>
          <w:color w:val="000000" w:themeColor="text1"/>
        </w:rPr>
        <w:t>, who are disproportionately exposed to the adverse health and socioeconomic impacts of COVID-19</w:t>
      </w:r>
      <w:r w:rsidRPr="001E7F56">
        <w:rPr>
          <w:rFonts w:cs="Arial"/>
          <w:b/>
          <w:bCs/>
          <w:color w:val="000000" w:themeColor="text1"/>
        </w:rPr>
        <w:t>.</w:t>
      </w:r>
      <w:r w:rsidRPr="00BC26A9">
        <w:rPr>
          <w:rStyle w:val="FootnoteReference"/>
          <w:rFonts w:cs="Arial"/>
          <w:color w:val="000000" w:themeColor="text1"/>
        </w:rPr>
        <w:footnoteReference w:id="33"/>
      </w:r>
      <w:r w:rsidRPr="001E7F56">
        <w:rPr>
          <w:rFonts w:cs="Arial"/>
          <w:color w:val="000000" w:themeColor="text1"/>
        </w:rPr>
        <w:t xml:space="preserve"> </w:t>
      </w:r>
      <w:r w:rsidRPr="001E7F56">
        <w:rPr>
          <w:rFonts w:cs="Arial"/>
        </w:rPr>
        <w:t xml:space="preserve">Senior citizens are more vulnerable than </w:t>
      </w:r>
      <w:r>
        <w:rPr>
          <w:rFonts w:cs="Arial"/>
        </w:rPr>
        <w:t xml:space="preserve">the </w:t>
      </w:r>
      <w:r w:rsidRPr="001E7F56">
        <w:rPr>
          <w:rFonts w:cs="Arial"/>
        </w:rPr>
        <w:t>general population to the COVID-19 crisis in two important ways. First, older adults are at a significantly increased risk of severe disease following infection from COVID-19. This is compounded by the fact that senior citizens have less access to household assets and dwelling facilities, such as a a</w:t>
      </w:r>
      <w:r w:rsidRPr="00BC2520">
        <w:rPr>
          <w:rFonts w:cs="Arial"/>
        </w:rPr>
        <w:t xml:space="preserve"> </w:t>
      </w:r>
      <w:r w:rsidRPr="001E7F56">
        <w:rPr>
          <w:rFonts w:cs="Arial"/>
        </w:rPr>
        <w:t>bath or shower water supply and sewage</w:t>
      </w:r>
      <w:r w:rsidR="001452AF">
        <w:rPr>
          <w:rFonts w:cs="Arial"/>
        </w:rPr>
        <w:t>, needed to minimize risk of contagion</w:t>
      </w:r>
      <w:r w:rsidRPr="001E7F56">
        <w:rPr>
          <w:rFonts w:cs="Arial"/>
        </w:rPr>
        <w:t>.</w:t>
      </w:r>
      <w:r>
        <w:rPr>
          <w:rStyle w:val="FootnoteReference"/>
        </w:rPr>
        <w:footnoteReference w:id="34"/>
      </w:r>
      <w:r>
        <w:rPr>
          <w:rFonts w:cs="Arial"/>
        </w:rPr>
        <w:t xml:space="preserve"> </w:t>
      </w:r>
      <w:r w:rsidRPr="001E7F56">
        <w:rPr>
          <w:rFonts w:cs="Arial"/>
        </w:rPr>
        <w:t>Second, older adults are disproportionately affected by physical distancing measures as they typically rely on multiple income sources, including informal labor income, savings, and financial support from famil</w:t>
      </w:r>
      <w:r>
        <w:rPr>
          <w:rFonts w:cs="Arial"/>
        </w:rPr>
        <w:t>y members—</w:t>
      </w:r>
      <w:r w:rsidRPr="001E7F56">
        <w:rPr>
          <w:rFonts w:cs="Arial"/>
        </w:rPr>
        <w:t>all of which suffered as a result of COVID-19 lockdowns.</w:t>
      </w:r>
      <w:r>
        <w:rPr>
          <w:rStyle w:val="FootnoteReference"/>
        </w:rPr>
        <w:footnoteReference w:id="35"/>
      </w:r>
      <w:r w:rsidRPr="001E7F56">
        <w:rPr>
          <w:rFonts w:cs="Arial"/>
        </w:rPr>
        <w:t xml:space="preserve"> </w:t>
      </w:r>
      <w:r>
        <w:rPr>
          <w:rFonts w:cs="Arial"/>
        </w:rPr>
        <w:t>T</w:t>
      </w:r>
      <w:r w:rsidRPr="001E7F56">
        <w:rPr>
          <w:rFonts w:cs="Arial"/>
        </w:rPr>
        <w:t xml:space="preserve">he pandemic significantly impacted </w:t>
      </w:r>
      <w:r>
        <w:rPr>
          <w:rFonts w:cs="Arial"/>
        </w:rPr>
        <w:t>most sources of</w:t>
      </w:r>
      <w:r w:rsidRPr="001E7F56">
        <w:rPr>
          <w:rFonts w:cs="Arial"/>
        </w:rPr>
        <w:t xml:space="preserve"> income of senior citizens</w:t>
      </w:r>
      <w:r>
        <w:rPr>
          <w:rFonts w:cs="Arial"/>
        </w:rPr>
        <w:t xml:space="preserve"> with the exception of pension payouts</w:t>
      </w:r>
      <w:r w:rsidRPr="001E7F56">
        <w:rPr>
          <w:rFonts w:cs="Arial"/>
        </w:rPr>
        <w:t xml:space="preserve">. </w:t>
      </w:r>
      <w:r>
        <w:rPr>
          <w:rFonts w:cs="Arial"/>
        </w:rPr>
        <w:t>This</w:t>
      </w:r>
      <w:r w:rsidRPr="001E7F56">
        <w:rPr>
          <w:rFonts w:cs="Arial"/>
        </w:rPr>
        <w:t xml:space="preserve"> highlight</w:t>
      </w:r>
      <w:r>
        <w:rPr>
          <w:rFonts w:cs="Arial"/>
        </w:rPr>
        <w:t>s</w:t>
      </w:r>
      <w:r w:rsidRPr="001E7F56">
        <w:rPr>
          <w:rFonts w:cs="Arial"/>
        </w:rPr>
        <w:t xml:space="preserve"> the importance of an adequate and reliable social pension system to </w:t>
      </w:r>
      <w:r>
        <w:rPr>
          <w:rFonts w:cs="Arial"/>
        </w:rPr>
        <w:t>avoid a</w:t>
      </w:r>
      <w:r w:rsidRPr="001E7F56">
        <w:rPr>
          <w:rFonts w:cs="Arial"/>
        </w:rPr>
        <w:t xml:space="preserve"> sharp increase in </w:t>
      </w:r>
      <w:r>
        <w:rPr>
          <w:rFonts w:cs="Arial"/>
        </w:rPr>
        <w:t xml:space="preserve">old-age </w:t>
      </w:r>
      <w:r w:rsidRPr="001E7F56">
        <w:rPr>
          <w:rFonts w:cs="Arial"/>
        </w:rPr>
        <w:t>poverty incidence.</w:t>
      </w:r>
      <w:r>
        <w:rPr>
          <w:rFonts w:cs="Arial"/>
        </w:rPr>
        <w:t xml:space="preserve"> </w:t>
      </w:r>
      <w:r w:rsidRPr="00666D0E">
        <w:rPr>
          <w:rFonts w:cs="Arial"/>
        </w:rPr>
        <w:t>This is particularly important for women, who constitute 71% of all universal pension beneficiaries in August 2020 and rely on pension payouts for their livelihoods. Life expectancy is higher for women than it is for men, at 78.2 years compared with 69.7—suggesting that reliance on a pension system is higher for women, who spend, on average, 17.2 years on a pension as opposed to men who spend an average of 3.6 years on a pension.</w:t>
      </w:r>
      <w:r>
        <w:rPr>
          <w:rFonts w:cs="Arial"/>
        </w:rPr>
        <w:t xml:space="preserve"> </w:t>
      </w:r>
      <w:r w:rsidRPr="001E7F56">
        <w:rPr>
          <w:rFonts w:cs="Arial"/>
        </w:rPr>
        <w:t>Further, and in addition to providing a financial lifeline to the elderly, the COVID</w:t>
      </w:r>
      <w:r>
        <w:rPr>
          <w:rFonts w:cs="Arial"/>
        </w:rPr>
        <w:t>-</w:t>
      </w:r>
      <w:r w:rsidRPr="001E7F56">
        <w:rPr>
          <w:rFonts w:cs="Arial"/>
        </w:rPr>
        <w:t>19 crisis highlighted the importance of the pension system in mitigating a steeper resurgence in poverty levels across households with at least one pension recipient. As Figure 2 illustrates, households with one o</w:t>
      </w:r>
      <w:r>
        <w:rPr>
          <w:rFonts w:cs="Arial"/>
        </w:rPr>
        <w:t>r</w:t>
      </w:r>
      <w:r w:rsidRPr="001E7F56">
        <w:rPr>
          <w:rFonts w:cs="Arial"/>
        </w:rPr>
        <w:t xml:space="preserve"> more pensioners witnessed a proportionally smaller increase in poverty incidence. Overall, the COVID-19 crisis shed light on how critical reforms to the pension systems are to ensure the social wellbeing of the largest share of vulnerable population in Georgia which include not only older adults, but also households with at least one pension beneficiary.</w:t>
      </w:r>
      <w:r>
        <w:rPr>
          <w:rStyle w:val="FootnoteReference"/>
        </w:rPr>
        <w:footnoteReference w:id="36"/>
      </w:r>
    </w:p>
    <w:p w14:paraId="620B150D" w14:textId="77777777" w:rsidR="00920EFC" w:rsidRPr="00BC2520" w:rsidRDefault="00920EFC" w:rsidP="00920EFC">
      <w:pPr>
        <w:pStyle w:val="ListParagraph"/>
        <w:ind w:left="0"/>
        <w:jc w:val="both"/>
        <w:rPr>
          <w:rFonts w:cs="Arial"/>
          <w:color w:val="FF0000"/>
        </w:rPr>
      </w:pPr>
    </w:p>
    <w:p w14:paraId="402CF269" w14:textId="3F88EAB0" w:rsidR="00C557FA" w:rsidRDefault="00A23B0C" w:rsidP="00B9284D">
      <w:pPr>
        <w:pStyle w:val="ListParagraph"/>
        <w:ind w:left="0"/>
        <w:jc w:val="both"/>
        <w:rPr>
          <w:rFonts w:cs="Arial"/>
          <w:color w:val="FF0000"/>
        </w:rPr>
      </w:pPr>
      <w:r>
        <w:rPr>
          <w:noProof/>
          <w:lang w:eastAsia="en-US"/>
        </w:rPr>
        <mc:AlternateContent>
          <mc:Choice Requires="wps">
            <w:drawing>
              <wp:inline distT="45720" distB="45720" distL="114300" distR="114300" wp14:anchorId="10331BF5" wp14:editId="5E32C63A">
                <wp:extent cx="5967730" cy="1577340"/>
                <wp:effectExtent l="0" t="0" r="13970" b="22860"/>
                <wp:docPr id="511238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7730" cy="1577340"/>
                        </a:xfrm>
                        <a:prstGeom prst="rect">
                          <a:avLst/>
                        </a:prstGeom>
                        <a:solidFill>
                          <a:srgbClr val="FFFFFF"/>
                        </a:solidFill>
                        <a:ln w="9525">
                          <a:solidFill>
                            <a:srgbClr val="000000"/>
                          </a:solidFill>
                          <a:miter lim="800000"/>
                          <a:headEnd/>
                          <a:tailEnd/>
                        </a:ln>
                      </wps:spPr>
                      <wps:txbx>
                        <w:txbxContent>
                          <w:p w14:paraId="0A555C3B" w14:textId="131E44F7" w:rsidR="00A23B0C" w:rsidRPr="009B6EC4" w:rsidRDefault="00A23B0C" w:rsidP="00A23B0C">
                            <w:pPr>
                              <w:jc w:val="center"/>
                              <w:rPr>
                                <w:b/>
                                <w:sz w:val="20"/>
                                <w:szCs w:val="20"/>
                              </w:rPr>
                            </w:pPr>
                            <w:r w:rsidRPr="009B6EC4">
                              <w:rPr>
                                <w:b/>
                                <w:sz w:val="20"/>
                                <w:szCs w:val="20"/>
                              </w:rPr>
                              <w:t>Figure 2: Poverty Headcount by Households (none, one or two pensioners), Scenario Analysis</w:t>
                            </w:r>
                          </w:p>
                          <w:p w14:paraId="6C5E8412" w14:textId="3FC8CF8D" w:rsidR="00A23B0C" w:rsidRPr="00C557FA" w:rsidRDefault="00A23B0C" w:rsidP="00C557FA">
                            <w:pPr>
                              <w:jc w:val="center"/>
                            </w:pPr>
                            <w:r>
                              <w:rPr>
                                <w:noProof/>
                              </w:rPr>
                              <w:drawing>
                                <wp:inline distT="0" distB="0" distL="0" distR="0" wp14:anchorId="1B23F91B" wp14:editId="45047D42">
                                  <wp:extent cx="5791200" cy="1644650"/>
                                  <wp:effectExtent l="0" t="0" r="0" b="127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xbxContent>
                      </wps:txbx>
                      <wps:bodyPr rot="0" vert="horz" wrap="square" lIns="91440" tIns="45720" rIns="91440" bIns="45720" anchor="t" anchorCtr="0">
                        <a:noAutofit/>
                      </wps:bodyPr>
                    </wps:wsp>
                  </a:graphicData>
                </a:graphic>
              </wp:inline>
            </w:drawing>
          </mc:Choice>
          <mc:Fallback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0331BF5" id="_x0000_t202" coordsize="21600,21600" o:spt="202" path="m,l,21600r21600,l21600,xe">
                <v:stroke joinstyle="miter"/>
                <v:path gradientshapeok="t" o:connecttype="rect"/>
              </v:shapetype>
              <v:shape id="Text Box 2" o:spid="_x0000_s1026" type="#_x0000_t202" style="width:469.9pt;height:1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">
                <v:textbox>
                  <w:txbxContent>
                    <w:p w14:paraId="0A555C3B" w14:textId="131E44F7" w:rsidR="00A23B0C" w:rsidRPr="009B6EC4" w:rsidRDefault="00A23B0C" w:rsidP="00A23B0C">
                      <w:pPr>
                        <w:jc w:val="center"/>
                        <w:rPr>
                          <w:b/>
                          <w:sz w:val="20"/>
                          <w:szCs w:val="20"/>
                        </w:rPr>
                      </w:pPr>
                      <w:r w:rsidRPr="009B6EC4">
                        <w:rPr>
                          <w:b/>
                          <w:sz w:val="20"/>
                          <w:szCs w:val="20"/>
                        </w:rPr>
                        <w:t>Figure 2: Poverty Headcount by Households (none, one or two pensioners), Scenario Analysis</w:t>
                      </w:r>
                    </w:p>
                    <w:p w14:paraId="6C5E8412" w14:textId="3FC8CF8D" w:rsidR="00A23B0C" w:rsidRPr="00C557FA" w:rsidRDefault="00A23B0C" w:rsidP="00C557FA">
                      <w:pPr>
                        <w:jc w:val="center"/>
                      </w:pPr>
                      <w:r>
                        <w:rPr>
                          <w:noProof/>
                        </w:rPr>
                        <w:drawing>
                          <wp:inline distT="0" distB="0" distL="0" distR="0" wp14:anchorId="1B23F91B" wp14:editId="45047D42">
                            <wp:extent cx="5791200" cy="1644650"/>
                            <wp:effectExtent l="0" t="0" r="0" b="127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xbxContent>
                </v:textbox>
                <w10:anchorlock/>
              </v:shape>
            </w:pict>
          </mc:Fallback>
        </mc:AlternateContent>
      </w:r>
    </w:p>
    <w:p w14:paraId="14895F47" w14:textId="328CCFE8" w:rsidR="00163133" w:rsidRPr="00163133" w:rsidRDefault="00C557FA" w:rsidP="00163133">
      <w:pPr>
        <w:pStyle w:val="ListParagraph"/>
        <w:ind w:left="0"/>
        <w:jc w:val="both"/>
        <w:rPr>
          <w:rFonts w:cs="Arial"/>
          <w:sz w:val="18"/>
          <w:szCs w:val="18"/>
        </w:rPr>
      </w:pPr>
      <w:r w:rsidRPr="00C557FA">
        <w:rPr>
          <w:rFonts w:cs="Arial"/>
          <w:sz w:val="18"/>
          <w:szCs w:val="18"/>
        </w:rPr>
        <w:t>Source: ADB staff estimates.</w:t>
      </w:r>
    </w:p>
    <w:p w14:paraId="549D591F" w14:textId="77777777" w:rsidR="006E1A7C" w:rsidRPr="00C557FA" w:rsidRDefault="006E1A7C" w:rsidP="00B9284D">
      <w:pPr>
        <w:pStyle w:val="ListParagraph"/>
        <w:ind w:left="0"/>
        <w:jc w:val="both"/>
        <w:rPr>
          <w:rFonts w:cs="Arial"/>
          <w:sz w:val="18"/>
          <w:szCs w:val="18"/>
        </w:rPr>
      </w:pPr>
    </w:p>
    <w:p w14:paraId="76679CB8" w14:textId="048749C7" w:rsidR="00910A07" w:rsidRDefault="00D06F6A" w:rsidP="00910A07">
      <w:pPr>
        <w:pStyle w:val="ListParagraph"/>
        <w:numPr>
          <w:ilvl w:val="0"/>
          <w:numId w:val="29"/>
        </w:numPr>
        <w:ind w:left="0" w:firstLine="0"/>
        <w:jc w:val="both"/>
        <w:rPr>
          <w:rFonts w:cs="Arial"/>
        </w:rPr>
      </w:pPr>
      <w:r w:rsidRPr="00910A07">
        <w:rPr>
          <w:rFonts w:cs="Arial"/>
          <w:b/>
          <w:bCs/>
        </w:rPr>
        <w:lastRenderedPageBreak/>
        <w:t xml:space="preserve">Reforms to mitigate old-age poverty and improve fiscal sustainability of pension </w:t>
      </w:r>
      <w:r w:rsidR="00C8651A" w:rsidRPr="00910A07">
        <w:rPr>
          <w:rFonts w:cs="Arial"/>
          <w:b/>
          <w:bCs/>
        </w:rPr>
        <w:t>system</w:t>
      </w:r>
      <w:r w:rsidRPr="00910A07">
        <w:rPr>
          <w:rFonts w:cs="Arial"/>
          <w:b/>
          <w:bCs/>
        </w:rPr>
        <w:t xml:space="preserve"> began in early 2014 </w:t>
      </w:r>
      <w:r w:rsidR="00C8651A" w:rsidRPr="00910A07">
        <w:rPr>
          <w:rFonts w:cs="Arial"/>
          <w:b/>
          <w:bCs/>
        </w:rPr>
        <w:t>but</w:t>
      </w:r>
      <w:r w:rsidRPr="00910A07">
        <w:rPr>
          <w:rFonts w:cs="Arial"/>
          <w:b/>
          <w:bCs/>
        </w:rPr>
        <w:t xml:space="preserve"> require further steps.</w:t>
      </w:r>
      <w:r w:rsidRPr="00910A07">
        <w:rPr>
          <w:rFonts w:cs="Arial"/>
        </w:rPr>
        <w:t xml:space="preserve"> </w:t>
      </w:r>
      <w:r w:rsidR="00C8651A" w:rsidRPr="00910A07">
        <w:rPr>
          <w:rFonts w:cs="Arial"/>
        </w:rPr>
        <w:t>Reform of the</w:t>
      </w:r>
      <w:r w:rsidRPr="00910A07">
        <w:rPr>
          <w:rFonts w:cs="Arial"/>
        </w:rPr>
        <w:t xml:space="preserve"> pension </w:t>
      </w:r>
      <w:r w:rsidR="00C8651A" w:rsidRPr="00910A07">
        <w:rPr>
          <w:rFonts w:cs="Arial"/>
        </w:rPr>
        <w:t>system</w:t>
      </w:r>
      <w:r w:rsidRPr="00910A07">
        <w:rPr>
          <w:rFonts w:cs="Arial"/>
        </w:rPr>
        <w:t xml:space="preserve"> began with an assessment of the existing system in 2014–15, after which the Cabinet adopted a pension reform policy proposing to (i) link future increases of the universal basic pension to inflation </w:t>
      </w:r>
      <w:r w:rsidR="0020011D" w:rsidRPr="00910A07">
        <w:rPr>
          <w:rFonts w:cs="Arial"/>
        </w:rPr>
        <w:t xml:space="preserve">and </w:t>
      </w:r>
      <w:r w:rsidRPr="00910A07">
        <w:rPr>
          <w:rFonts w:cs="Arial"/>
        </w:rPr>
        <w:t xml:space="preserve">(ii) introduce an additional contributory (Pillar II). The initial diagnostic, undertaken by the Ministry of Economy and Sustainable Development (MOESD) supported by an ADB technical assistance (TA), concluded that </w:t>
      </w:r>
      <w:r w:rsidRPr="00910A07">
        <w:rPr>
          <w:rFonts w:cs="Arial"/>
          <w:color w:val="000000" w:themeColor="text1"/>
        </w:rPr>
        <w:t>while the universal pension system did have a significant effect in reducing poverty, it did not provide for a decent standard of living to its beneficiaries.</w:t>
      </w:r>
      <w:r>
        <w:rPr>
          <w:rStyle w:val="FootnoteReference"/>
          <w:color w:val="000000" w:themeColor="text1"/>
        </w:rPr>
        <w:footnoteReference w:id="37"/>
      </w:r>
      <w:r w:rsidRPr="00910A07">
        <w:rPr>
          <w:rFonts w:cs="Arial"/>
          <w:color w:val="000000" w:themeColor="text1"/>
        </w:rPr>
        <w:t xml:space="preserve"> P</w:t>
      </w:r>
      <w:r w:rsidRPr="00910A07">
        <w:rPr>
          <w:rFonts w:cs="Arial"/>
        </w:rPr>
        <w:t>rojections on future liabilities taking into account demographic trends</w:t>
      </w:r>
      <w:r>
        <w:rPr>
          <w:rStyle w:val="FootnoteReference"/>
          <w:color w:val="000000" w:themeColor="text1"/>
        </w:rPr>
        <w:footnoteReference w:id="38"/>
      </w:r>
      <w:r w:rsidRPr="00910A07">
        <w:rPr>
          <w:rFonts w:cs="Arial"/>
        </w:rPr>
        <w:t xml:space="preserve"> suggested that the universal pension system was not fiscally sustainable, given that it was to be financed exclusively from the State Budget.</w:t>
      </w:r>
      <w:r>
        <w:rPr>
          <w:rStyle w:val="FootnoteReference"/>
          <w:color w:val="000000" w:themeColor="text1"/>
          <w:lang w:val="ka-GE"/>
        </w:rPr>
        <w:footnoteReference w:id="39"/>
      </w:r>
      <w:r w:rsidRPr="00910A07">
        <w:rPr>
          <w:rFonts w:cs="Arial"/>
        </w:rPr>
        <w:t xml:space="preserve"> Specifically, the practice of ad-hoc indexation of the universal basic pension was resulting in </w:t>
      </w:r>
      <w:r w:rsidR="0020011D" w:rsidRPr="00910A07">
        <w:rPr>
          <w:rFonts w:cs="Arial"/>
        </w:rPr>
        <w:t>unplanned</w:t>
      </w:r>
      <w:r w:rsidRPr="00910A07">
        <w:rPr>
          <w:rFonts w:cs="Arial"/>
        </w:rPr>
        <w:t xml:space="preserve"> fiscal pressure</w:t>
      </w:r>
      <w:r w:rsidR="0020011D" w:rsidRPr="00910A07">
        <w:rPr>
          <w:rFonts w:cs="Arial"/>
        </w:rPr>
        <w:t>s, thwarting efforts towards strenghtened budget predictability</w:t>
      </w:r>
      <w:r w:rsidRPr="00910A07">
        <w:rPr>
          <w:rFonts w:cs="Arial"/>
        </w:rPr>
        <w:t xml:space="preserve">. The report recommended that (i) </w:t>
      </w:r>
      <w:r w:rsidR="00A318C8" w:rsidRPr="00910A07">
        <w:rPr>
          <w:rFonts w:cs="Arial"/>
        </w:rPr>
        <w:t xml:space="preserve">universal pension payouts be raised to susbsistence levels to avoid rises in old-age poverty; </w:t>
      </w:r>
      <w:r w:rsidR="00652088" w:rsidRPr="00910A07">
        <w:rPr>
          <w:rFonts w:cs="Arial"/>
        </w:rPr>
        <w:t xml:space="preserve">(ii) government adopt a mechanisms for indexation of universal penion to maintain </w:t>
      </w:r>
      <w:r w:rsidR="006F25C6" w:rsidRPr="00910A07">
        <w:rPr>
          <w:rFonts w:cs="Arial"/>
        </w:rPr>
        <w:t xml:space="preserve">their </w:t>
      </w:r>
      <w:r w:rsidR="00652088" w:rsidRPr="00910A07">
        <w:rPr>
          <w:rFonts w:cs="Arial"/>
        </w:rPr>
        <w:t>purchasing valu</w:t>
      </w:r>
      <w:r w:rsidR="006F25C6" w:rsidRPr="00910A07">
        <w:rPr>
          <w:rFonts w:cs="Arial"/>
        </w:rPr>
        <w:t>e;</w:t>
      </w:r>
      <w:r w:rsidR="00652088" w:rsidRPr="00910A07">
        <w:rPr>
          <w:rFonts w:cs="Arial"/>
        </w:rPr>
        <w:t xml:space="preserve"> </w:t>
      </w:r>
      <w:r w:rsidR="00A318C8" w:rsidRPr="00910A07">
        <w:rPr>
          <w:rFonts w:cs="Arial"/>
        </w:rPr>
        <w:t>(ii</w:t>
      </w:r>
      <w:r w:rsidR="006F25C6" w:rsidRPr="00910A07">
        <w:rPr>
          <w:rFonts w:cs="Arial"/>
        </w:rPr>
        <w:t>i</w:t>
      </w:r>
      <w:r w:rsidR="00A318C8" w:rsidRPr="00910A07">
        <w:rPr>
          <w:rFonts w:cs="Arial"/>
        </w:rPr>
        <w:t xml:space="preserve">) government establish and operationlise </w:t>
      </w:r>
      <w:r w:rsidRPr="00910A07">
        <w:rPr>
          <w:rFonts w:cs="Arial"/>
        </w:rPr>
        <w:t>a contributory pension savings scheme (Pillar II)</w:t>
      </w:r>
      <w:r w:rsidR="00A318C8" w:rsidRPr="00910A07">
        <w:rPr>
          <w:rFonts w:cs="Arial"/>
        </w:rPr>
        <w:t>; (</w:t>
      </w:r>
      <w:r w:rsidR="006F25C6" w:rsidRPr="00910A07">
        <w:rPr>
          <w:rFonts w:cs="Arial"/>
        </w:rPr>
        <w:t>iv</w:t>
      </w:r>
      <w:r w:rsidR="00A318C8" w:rsidRPr="00910A07">
        <w:rPr>
          <w:rFonts w:cs="Arial"/>
        </w:rPr>
        <w:t xml:space="preserve">) government complement the universal pension scheme and contributory pension scheme with </w:t>
      </w:r>
      <w:r w:rsidRPr="00910A07">
        <w:rPr>
          <w:rFonts w:cs="Arial"/>
        </w:rPr>
        <w:t>a fully private pension scheme (Pillar III).</w:t>
      </w:r>
      <w:r>
        <w:rPr>
          <w:rStyle w:val="FootnoteReference"/>
        </w:rPr>
        <w:footnoteReference w:id="40"/>
      </w:r>
      <w:r w:rsidRPr="00910A07">
        <w:rPr>
          <w:rFonts w:cs="Arial"/>
        </w:rPr>
        <w:t xml:space="preserve"> In line with these </w:t>
      </w:r>
      <w:r w:rsidR="0006031E" w:rsidRPr="00910A07">
        <w:rPr>
          <w:rFonts w:cs="Arial"/>
        </w:rPr>
        <w:t>policy recommendations</w:t>
      </w:r>
      <w:r w:rsidRPr="00910A07">
        <w:rPr>
          <w:rFonts w:cs="Arial"/>
        </w:rPr>
        <w:t xml:space="preserve">, the GoG </w:t>
      </w:r>
      <w:r w:rsidR="0006031E" w:rsidRPr="00910A07">
        <w:rPr>
          <w:rFonts w:cs="Arial"/>
        </w:rPr>
        <w:t>has (i) gradually increased universal pension payouts to a pre-determined subsistence level and provide</w:t>
      </w:r>
      <w:r w:rsidR="00B15612" w:rsidRPr="00910A07">
        <w:rPr>
          <w:rFonts w:cs="Arial"/>
        </w:rPr>
        <w:t>d</w:t>
      </w:r>
      <w:r w:rsidR="0006031E" w:rsidRPr="00910A07">
        <w:rPr>
          <w:rFonts w:cs="Arial"/>
        </w:rPr>
        <w:t xml:space="preserve"> an addition</w:t>
      </w:r>
      <w:r w:rsidR="00B15612" w:rsidRPr="00910A07">
        <w:rPr>
          <w:rFonts w:cs="Arial"/>
        </w:rPr>
        <w:t>al</w:t>
      </w:r>
      <w:r w:rsidR="0006031E" w:rsidRPr="00910A07">
        <w:rPr>
          <w:rFonts w:cs="Arial"/>
        </w:rPr>
        <w:t xml:space="preserve"> increase for those aged 75 and above</w:t>
      </w:r>
      <w:r w:rsidR="00B15612" w:rsidRPr="00910A07">
        <w:rPr>
          <w:rFonts w:cs="Arial"/>
        </w:rPr>
        <w:t xml:space="preserve">; </w:t>
      </w:r>
      <w:r w:rsidR="00653D66" w:rsidRPr="00910A07">
        <w:rPr>
          <w:rFonts w:cs="Arial"/>
        </w:rPr>
        <w:t xml:space="preserve"> and </w:t>
      </w:r>
      <w:r w:rsidR="00B15612" w:rsidRPr="00910A07">
        <w:rPr>
          <w:rFonts w:cs="Arial"/>
        </w:rPr>
        <w:t>(ii) effectively</w:t>
      </w:r>
      <w:r w:rsidR="00E868C5" w:rsidRPr="00910A07">
        <w:rPr>
          <w:rFonts w:cs="Arial"/>
        </w:rPr>
        <w:t xml:space="preserve"> </w:t>
      </w:r>
      <w:r w:rsidR="00B15612" w:rsidRPr="00910A07">
        <w:rPr>
          <w:rFonts w:cs="Arial"/>
        </w:rPr>
        <w:t>established and operationalized the contributiory pension scheme (Pillar II), which is administered by a Legal Entity of Public Law—th</w:t>
      </w:r>
      <w:r w:rsidR="00653D66" w:rsidRPr="00910A07">
        <w:rPr>
          <w:rFonts w:cs="Arial"/>
        </w:rPr>
        <w:t>e</w:t>
      </w:r>
      <w:r w:rsidR="00B15612" w:rsidRPr="00910A07">
        <w:rPr>
          <w:rFonts w:cs="Arial"/>
        </w:rPr>
        <w:t xml:space="preserve"> Pension Agency.</w:t>
      </w:r>
      <w:r w:rsidR="00E868C5" w:rsidRPr="00910A07">
        <w:rPr>
          <w:rFonts w:cs="Arial"/>
        </w:rPr>
        <w:t xml:space="preserve"> </w:t>
      </w:r>
      <w:r w:rsidRPr="00910A07">
        <w:rPr>
          <w:rFonts w:cs="Arial"/>
        </w:rPr>
        <w:t xml:space="preserve">These measures are particularly beneficial for women who constitute 71% of all universal pension beneficiaries and 66% of universal pension beneficiaries over 75 years of age. Further, to ensure fiscal sustainability of the pension system more broadly, </w:t>
      </w:r>
      <w:r w:rsidRPr="00910A07">
        <w:rPr>
          <w:rFonts w:cs="Arial"/>
          <w:color w:val="000000" w:themeColor="text1"/>
        </w:rPr>
        <w:t>an indexation mechanism has been recently approved and the operationalization of the contributory pension scheme was completed. This way, Georgia’s pension scheme can maintain its role of poverty alleviation at fiscally affordable levels. The purchasing power of pensioners will remain stable, as ad-hoc increases in the pension amount will no longer be common practice.</w:t>
      </w:r>
      <w:r>
        <w:rPr>
          <w:rStyle w:val="FootnoteReference"/>
          <w:rFonts w:cs="Arial"/>
          <w:color w:val="000000" w:themeColor="text1"/>
        </w:rPr>
        <w:footnoteReference w:id="41"/>
      </w:r>
      <w:r w:rsidR="00653D66" w:rsidRPr="00910A07">
        <w:rPr>
          <w:rFonts w:cs="Arial"/>
          <w:color w:val="000000" w:themeColor="text1"/>
        </w:rPr>
        <w:t xml:space="preserve"> Going forward, government remains committed to establishing a fully private </w:t>
      </w:r>
      <w:r w:rsidR="008C25D1" w:rsidRPr="00910A07">
        <w:rPr>
          <w:rFonts w:cs="Arial"/>
          <w:color w:val="000000" w:themeColor="text1"/>
        </w:rPr>
        <w:t xml:space="preserve">pension scheme whilst continuing to improve </w:t>
      </w:r>
      <w:r w:rsidR="00910A07">
        <w:rPr>
          <w:rFonts w:cs="Arial"/>
        </w:rPr>
        <w:t>efficiency of the Pillar II pension scheme.</w:t>
      </w:r>
    </w:p>
    <w:p w14:paraId="5526115D" w14:textId="77777777" w:rsidR="00910A07" w:rsidRPr="00910A07" w:rsidRDefault="00910A07" w:rsidP="00910A07">
      <w:pPr>
        <w:pStyle w:val="ListParagraph"/>
        <w:ind w:left="0"/>
        <w:jc w:val="both"/>
        <w:rPr>
          <w:rFonts w:cs="Arial"/>
        </w:rPr>
      </w:pPr>
    </w:p>
    <w:p w14:paraId="0CBAD3CE" w14:textId="6B1B7EE5" w:rsidR="00F72D4A" w:rsidRPr="00F72D4A" w:rsidRDefault="00892CF9" w:rsidP="00F72D4A">
      <w:pPr>
        <w:pStyle w:val="ListParagraph"/>
        <w:numPr>
          <w:ilvl w:val="0"/>
          <w:numId w:val="29"/>
        </w:numPr>
        <w:ind w:left="0" w:firstLine="0"/>
        <w:jc w:val="both"/>
        <w:rPr>
          <w:rFonts w:cs="Arial"/>
        </w:rPr>
      </w:pPr>
      <w:r>
        <w:rPr>
          <w:rFonts w:cs="Arial"/>
          <w:b/>
          <w:bCs/>
          <w:color w:val="000000" w:themeColor="text1"/>
        </w:rPr>
        <w:t>The Government’s Anti Crisis Plan is expected to mitigate the rise in unemployment due to COVID-19, but not completely</w:t>
      </w:r>
      <w:r w:rsidR="56B37F67" w:rsidRPr="006B5C3C">
        <w:rPr>
          <w:rFonts w:cs="Arial"/>
          <w:b/>
          <w:bCs/>
          <w:color w:val="000000" w:themeColor="text1"/>
        </w:rPr>
        <w:t>.</w:t>
      </w:r>
      <w:r w:rsidR="56B37F67" w:rsidRPr="006B5C3C">
        <w:rPr>
          <w:rFonts w:cs="Arial"/>
          <w:color w:val="000000" w:themeColor="text1"/>
        </w:rPr>
        <w:t xml:space="preserve"> </w:t>
      </w:r>
      <w:r w:rsidR="7D2EB1A2">
        <w:rPr>
          <w:rFonts w:cs="Arial"/>
          <w:color w:val="000000" w:themeColor="text1"/>
        </w:rPr>
        <w:t>F</w:t>
      </w:r>
      <w:r w:rsidR="56B37F67" w:rsidRPr="006B5C3C">
        <w:rPr>
          <w:rFonts w:cs="Arial"/>
          <w:color w:val="000000" w:themeColor="text1"/>
        </w:rPr>
        <w:t xml:space="preserve">ormal unemployment </w:t>
      </w:r>
      <w:r w:rsidR="00910A07">
        <w:rPr>
          <w:rFonts w:cs="Arial"/>
          <w:color w:val="000000" w:themeColor="text1"/>
        </w:rPr>
        <w:t>rose</w:t>
      </w:r>
      <w:r w:rsidR="56B37F67" w:rsidRPr="006B5C3C">
        <w:rPr>
          <w:rFonts w:cs="Arial"/>
          <w:color w:val="000000" w:themeColor="text1"/>
        </w:rPr>
        <w:t xml:space="preserve"> from 11.6% at the end of 2019 to 12.3% in the second quarter of 2020.</w:t>
      </w:r>
      <w:r w:rsidR="00377DEC">
        <w:rPr>
          <w:rStyle w:val="FootnoteReference"/>
          <w:rFonts w:cs="Arial"/>
          <w:color w:val="000000" w:themeColor="text1"/>
        </w:rPr>
        <w:footnoteReference w:id="42"/>
      </w:r>
      <w:r w:rsidR="56B37F67" w:rsidRPr="006B5C3C">
        <w:rPr>
          <w:rFonts w:cs="Arial"/>
          <w:color w:val="000000" w:themeColor="text1"/>
        </w:rPr>
        <w:t xml:space="preserve"> </w:t>
      </w:r>
      <w:r w:rsidR="00910A07">
        <w:rPr>
          <w:rFonts w:cs="Arial"/>
          <w:color w:val="000000" w:themeColor="text1"/>
        </w:rPr>
        <w:t>T</w:t>
      </w:r>
      <w:r w:rsidR="51C0ACDB">
        <w:rPr>
          <w:rFonts w:cs="Arial"/>
          <w:color w:val="000000" w:themeColor="text1"/>
        </w:rPr>
        <w:t xml:space="preserve">he full impact </w:t>
      </w:r>
      <w:r w:rsidR="77AF6499">
        <w:rPr>
          <w:rFonts w:cs="Arial"/>
          <w:color w:val="000000" w:themeColor="text1"/>
        </w:rPr>
        <w:t>of COVID-19 on</w:t>
      </w:r>
      <w:r w:rsidR="51C0ACDB">
        <w:rPr>
          <w:rFonts w:cs="Arial"/>
          <w:color w:val="000000" w:themeColor="text1"/>
        </w:rPr>
        <w:t xml:space="preserve"> unemployment will not be </w:t>
      </w:r>
      <w:r w:rsidR="00197DB5">
        <w:rPr>
          <w:rFonts w:cs="Arial"/>
          <w:color w:val="000000" w:themeColor="text1"/>
        </w:rPr>
        <w:t>evident</w:t>
      </w:r>
      <w:r w:rsidR="51C0ACDB">
        <w:rPr>
          <w:rFonts w:cs="Arial"/>
          <w:color w:val="000000" w:themeColor="text1"/>
        </w:rPr>
        <w:t xml:space="preserve"> until end</w:t>
      </w:r>
      <w:r w:rsidR="12F2F58E" w:rsidRPr="5D84ACAA">
        <w:rPr>
          <w:rFonts w:cs="Arial"/>
          <w:color w:val="000000" w:themeColor="text1"/>
        </w:rPr>
        <w:t>-</w:t>
      </w:r>
      <w:r w:rsidR="77AF6499">
        <w:rPr>
          <w:rFonts w:cs="Arial"/>
          <w:color w:val="000000" w:themeColor="text1"/>
        </w:rPr>
        <w:t>2020.</w:t>
      </w:r>
      <w:r w:rsidR="56B37F67" w:rsidRPr="006B5C3C">
        <w:rPr>
          <w:rFonts w:cs="Arial"/>
          <w:color w:val="000000" w:themeColor="text1"/>
        </w:rPr>
        <w:t xml:space="preserve"> </w:t>
      </w:r>
      <w:r w:rsidR="77AF6499">
        <w:rPr>
          <w:rFonts w:cs="Arial"/>
          <w:color w:val="000000" w:themeColor="text1"/>
        </w:rPr>
        <w:t xml:space="preserve">That said, preliminary </w:t>
      </w:r>
      <w:r w:rsidR="004B4657">
        <w:rPr>
          <w:rFonts w:cs="Arial"/>
          <w:color w:val="000000" w:themeColor="text1"/>
        </w:rPr>
        <w:t>estimate</w:t>
      </w:r>
      <w:r w:rsidR="00197DB5">
        <w:rPr>
          <w:rFonts w:cs="Arial"/>
          <w:color w:val="000000" w:themeColor="text1"/>
        </w:rPr>
        <w:t>s</w:t>
      </w:r>
      <w:r w:rsidR="77AF6499">
        <w:rPr>
          <w:rFonts w:cs="Arial"/>
          <w:color w:val="000000" w:themeColor="text1"/>
        </w:rPr>
        <w:t xml:space="preserve"> suggests </w:t>
      </w:r>
      <w:r w:rsidR="00F54393">
        <w:rPr>
          <w:rFonts w:cs="Arial"/>
          <w:color w:val="000000" w:themeColor="text1"/>
        </w:rPr>
        <w:t>that</w:t>
      </w:r>
      <w:r w:rsidR="77AF6499">
        <w:rPr>
          <w:rFonts w:cs="Arial"/>
          <w:color w:val="000000" w:themeColor="text1"/>
        </w:rPr>
        <w:t xml:space="preserve"> in 2020</w:t>
      </w:r>
      <w:r w:rsidR="00FF6B20">
        <w:rPr>
          <w:rFonts w:cs="Arial"/>
          <w:color w:val="000000" w:themeColor="text1"/>
        </w:rPr>
        <w:t xml:space="preserve"> roughly</w:t>
      </w:r>
      <w:r w:rsidR="77AF6499">
        <w:rPr>
          <w:rFonts w:cs="Arial"/>
          <w:color w:val="000000" w:themeColor="text1"/>
        </w:rPr>
        <w:t xml:space="preserve"> </w:t>
      </w:r>
      <w:r w:rsidR="00FF6B20" w:rsidRPr="00FF6B20">
        <w:rPr>
          <w:rFonts w:cs="Arial"/>
          <w:color w:val="000000" w:themeColor="text1"/>
        </w:rPr>
        <w:t xml:space="preserve">385,000 people, or about 23.4% of the employed, </w:t>
      </w:r>
      <w:r w:rsidR="56B37F67" w:rsidRPr="00A16CB9">
        <w:rPr>
          <w:rFonts w:cs="Arial"/>
        </w:rPr>
        <w:t>face a</w:t>
      </w:r>
      <w:r w:rsidR="56B37F67" w:rsidRPr="5D84ACAA">
        <w:rPr>
          <w:rFonts w:cs="Arial"/>
          <w:i/>
          <w:iCs/>
        </w:rPr>
        <w:t xml:space="preserve"> </w:t>
      </w:r>
      <w:r w:rsidR="56B37F67" w:rsidRPr="64803C5B">
        <w:rPr>
          <w:rFonts w:cs="Arial"/>
        </w:rPr>
        <w:t>high risk of job displacement</w:t>
      </w:r>
      <w:r w:rsidR="56B37F67" w:rsidRPr="006B5C3C">
        <w:rPr>
          <w:rFonts w:cs="Arial"/>
        </w:rPr>
        <w:t>.</w:t>
      </w:r>
      <w:r w:rsidR="00377DEC">
        <w:rPr>
          <w:rStyle w:val="FootnoteReference"/>
          <w:rFonts w:cs="Arial"/>
        </w:rPr>
        <w:footnoteReference w:id="43"/>
      </w:r>
      <w:r w:rsidR="56B37F67" w:rsidRPr="006B5C3C">
        <w:rPr>
          <w:rFonts w:cs="Arial"/>
        </w:rPr>
        <w:t xml:space="preserve"> </w:t>
      </w:r>
      <w:r w:rsidR="006A5AA1">
        <w:rPr>
          <w:rFonts w:cs="Arial"/>
        </w:rPr>
        <w:t>T</w:t>
      </w:r>
      <w:r w:rsidR="00B36B67">
        <w:rPr>
          <w:rFonts w:cs="Arial"/>
        </w:rPr>
        <w:t xml:space="preserve">he impact </w:t>
      </w:r>
      <w:r w:rsidR="006A5AA1">
        <w:rPr>
          <w:rFonts w:cs="Arial"/>
        </w:rPr>
        <w:t>on</w:t>
      </w:r>
      <w:r w:rsidR="00B36B67">
        <w:rPr>
          <w:rFonts w:cs="Arial"/>
        </w:rPr>
        <w:t xml:space="preserve"> the</w:t>
      </w:r>
      <w:r w:rsidR="00AF55D6">
        <w:rPr>
          <w:rFonts w:cs="Arial"/>
        </w:rPr>
        <w:t xml:space="preserve"> self-employed </w:t>
      </w:r>
      <w:r w:rsidR="56B37F67" w:rsidRPr="006B5C3C">
        <w:rPr>
          <w:rFonts w:cs="Arial"/>
          <w:color w:val="000000" w:themeColor="text1"/>
        </w:rPr>
        <w:t xml:space="preserve">might be milder </w:t>
      </w:r>
      <w:r w:rsidR="006A5AA1">
        <w:rPr>
          <w:rFonts w:cs="Arial"/>
          <w:color w:val="000000" w:themeColor="text1"/>
        </w:rPr>
        <w:t xml:space="preserve">comparative to hired workers </w:t>
      </w:r>
      <w:r w:rsidR="00867448">
        <w:rPr>
          <w:rFonts w:cs="Arial"/>
          <w:color w:val="000000" w:themeColor="text1"/>
        </w:rPr>
        <w:t xml:space="preserve">since </w:t>
      </w:r>
      <w:r w:rsidR="000A03F5">
        <w:rPr>
          <w:rFonts w:cs="Arial"/>
          <w:color w:val="000000" w:themeColor="text1"/>
        </w:rPr>
        <w:t>roughly 75% of self</w:t>
      </w:r>
      <w:r w:rsidR="00580C3C">
        <w:rPr>
          <w:rFonts w:cs="Arial"/>
          <w:color w:val="000000" w:themeColor="text1"/>
        </w:rPr>
        <w:t>-</w:t>
      </w:r>
      <w:r w:rsidR="000A03F5">
        <w:rPr>
          <w:rFonts w:cs="Arial"/>
          <w:color w:val="000000" w:themeColor="text1"/>
        </w:rPr>
        <w:t xml:space="preserve">employed workers in Georgia </w:t>
      </w:r>
      <w:r w:rsidR="00E021FE">
        <w:rPr>
          <w:rFonts w:cs="Arial"/>
          <w:color w:val="000000" w:themeColor="text1"/>
        </w:rPr>
        <w:t>work</w:t>
      </w:r>
      <w:r w:rsidR="56B37F67" w:rsidRPr="006B5C3C">
        <w:rPr>
          <w:rFonts w:cs="Arial"/>
          <w:color w:val="000000" w:themeColor="text1"/>
        </w:rPr>
        <w:t xml:space="preserve"> in agriculture</w:t>
      </w:r>
      <w:r w:rsidR="008F367E">
        <w:rPr>
          <w:rFonts w:cs="Arial"/>
          <w:color w:val="000000" w:themeColor="text1"/>
        </w:rPr>
        <w:t>,</w:t>
      </w:r>
      <w:r w:rsidR="56B37F67" w:rsidRPr="006B5C3C">
        <w:rPr>
          <w:rFonts w:cs="Arial"/>
          <w:color w:val="000000" w:themeColor="text1"/>
        </w:rPr>
        <w:t xml:space="preserve"> </w:t>
      </w:r>
      <w:r w:rsidR="573B1160">
        <w:rPr>
          <w:rFonts w:cs="Arial"/>
          <w:color w:val="000000" w:themeColor="text1"/>
        </w:rPr>
        <w:t>which was less affected during</w:t>
      </w:r>
      <w:r w:rsidR="56B37F67" w:rsidRPr="006B5C3C">
        <w:rPr>
          <w:rFonts w:cs="Arial"/>
          <w:color w:val="000000" w:themeColor="text1"/>
        </w:rPr>
        <w:t xml:space="preserve"> the lock-down period</w:t>
      </w:r>
      <w:r w:rsidR="006A5AA1">
        <w:rPr>
          <w:rFonts w:cs="Arial"/>
          <w:color w:val="000000" w:themeColor="text1"/>
        </w:rPr>
        <w:t>.</w:t>
      </w:r>
      <w:r w:rsidR="000A03F5">
        <w:rPr>
          <w:rStyle w:val="FootnoteReference"/>
          <w:color w:val="000000" w:themeColor="text1"/>
        </w:rPr>
        <w:footnoteReference w:id="44"/>
      </w:r>
      <w:r w:rsidR="006A5AA1">
        <w:rPr>
          <w:rFonts w:cs="Arial"/>
          <w:color w:val="000000" w:themeColor="text1"/>
        </w:rPr>
        <w:t xml:space="preserve"> </w:t>
      </w:r>
      <w:r w:rsidR="00965712">
        <w:rPr>
          <w:rFonts w:cs="Arial"/>
          <w:color w:val="000000" w:themeColor="text1"/>
        </w:rPr>
        <w:t>At the same time</w:t>
      </w:r>
      <w:r w:rsidR="006A5AA1">
        <w:rPr>
          <w:rFonts w:cs="Arial"/>
          <w:color w:val="000000" w:themeColor="text1"/>
        </w:rPr>
        <w:t>,</w:t>
      </w:r>
      <w:r w:rsidR="56B37F67" w:rsidRPr="006B5C3C">
        <w:rPr>
          <w:rFonts w:cs="Arial"/>
          <w:color w:val="000000" w:themeColor="text1"/>
        </w:rPr>
        <w:t xml:space="preserve"> less than average baseline earnings</w:t>
      </w:r>
      <w:r w:rsidR="573B1160">
        <w:rPr>
          <w:rFonts w:cs="Arial"/>
          <w:color w:val="000000" w:themeColor="text1"/>
        </w:rPr>
        <w:t xml:space="preserve"> of the self-employed</w:t>
      </w:r>
      <w:r w:rsidR="56B37F67" w:rsidRPr="006B5C3C">
        <w:rPr>
          <w:rFonts w:cs="Arial"/>
          <w:color w:val="000000" w:themeColor="text1"/>
        </w:rPr>
        <w:t xml:space="preserve">, may </w:t>
      </w:r>
      <w:r w:rsidR="56B37F67" w:rsidRPr="006B5C3C">
        <w:rPr>
          <w:rFonts w:cs="Arial"/>
          <w:color w:val="000000" w:themeColor="text1"/>
        </w:rPr>
        <w:lastRenderedPageBreak/>
        <w:t>require special policy emphasis</w:t>
      </w:r>
      <w:r w:rsidR="00377DEC" w:rsidRPr="006B5C3C">
        <w:rPr>
          <w:rFonts w:cs="Arial"/>
          <w:color w:val="000000" w:themeColor="text1"/>
        </w:rPr>
        <w:t>.</w:t>
      </w:r>
      <w:r w:rsidR="00853AA5">
        <w:rPr>
          <w:rStyle w:val="FootnoteReference"/>
          <w:color w:val="000000" w:themeColor="text1"/>
        </w:rPr>
        <w:footnoteReference w:id="45"/>
      </w:r>
      <w:r w:rsidR="5B56D772" w:rsidRPr="006B5C3C">
        <w:rPr>
          <w:rFonts w:cs="Arial"/>
        </w:rPr>
        <w:t xml:space="preserve"> </w:t>
      </w:r>
      <w:r w:rsidR="00965712">
        <w:rPr>
          <w:rFonts w:cs="Arial"/>
        </w:rPr>
        <w:t>To try and mitigate mass retrenchment and loss of income</w:t>
      </w:r>
      <w:r w:rsidR="772D98EE">
        <w:rPr>
          <w:rFonts w:cs="Arial"/>
        </w:rPr>
        <w:t xml:space="preserve">, the </w:t>
      </w:r>
      <w:r w:rsidR="00766AD4">
        <w:rPr>
          <w:rFonts w:cs="Arial"/>
        </w:rPr>
        <w:t>g</w:t>
      </w:r>
      <w:r w:rsidR="001227A1">
        <w:rPr>
          <w:rFonts w:cs="Arial"/>
        </w:rPr>
        <w:t>overnment</w:t>
      </w:r>
      <w:r w:rsidR="772D98EE">
        <w:rPr>
          <w:rFonts w:cs="Arial"/>
        </w:rPr>
        <w:t xml:space="preserve"> adopted ambitious employment preservation measures: </w:t>
      </w:r>
      <w:r w:rsidR="540529F7" w:rsidRPr="5D84ACAA">
        <w:rPr>
          <w:rFonts w:cs="Arial"/>
        </w:rPr>
        <w:t xml:space="preserve">(i) </w:t>
      </w:r>
      <w:r w:rsidR="772D98EE">
        <w:rPr>
          <w:rFonts w:cs="Arial"/>
        </w:rPr>
        <w:t xml:space="preserve">the </w:t>
      </w:r>
      <w:r w:rsidR="5B56D772" w:rsidRPr="006B5C3C">
        <w:rPr>
          <w:rFonts w:cs="Arial"/>
        </w:rPr>
        <w:t>Unemployment Assistance Benefit (</w:t>
      </w:r>
      <w:r w:rsidR="772D98EE">
        <w:rPr>
          <w:rFonts w:cs="Arial"/>
        </w:rPr>
        <w:t xml:space="preserve">direct transfer of </w:t>
      </w:r>
      <w:r w:rsidR="001830B4">
        <w:rPr>
          <w:rFonts w:cs="Arial"/>
        </w:rPr>
        <w:t>GEL</w:t>
      </w:r>
      <w:r w:rsidR="00EA08B1" w:rsidRPr="006B5C3C">
        <w:rPr>
          <w:rFonts w:cs="Arial"/>
        </w:rPr>
        <w:t>1</w:t>
      </w:r>
      <w:r w:rsidR="5B56D772" w:rsidRPr="006B5C3C">
        <w:rPr>
          <w:rFonts w:cs="Arial"/>
        </w:rPr>
        <w:t>,200 over six months)</w:t>
      </w:r>
      <w:r w:rsidR="08A67951" w:rsidRPr="5D84ACAA">
        <w:rPr>
          <w:rFonts w:cs="Arial"/>
        </w:rPr>
        <w:t>;</w:t>
      </w:r>
      <w:r w:rsidR="540529F7" w:rsidRPr="5D84ACAA">
        <w:rPr>
          <w:rFonts w:cs="Arial"/>
        </w:rPr>
        <w:t xml:space="preserve"> (ii)</w:t>
      </w:r>
      <w:r w:rsidR="5B56D772" w:rsidRPr="006B5C3C">
        <w:rPr>
          <w:rFonts w:cs="Arial"/>
        </w:rPr>
        <w:t xml:space="preserve"> </w:t>
      </w:r>
      <w:r w:rsidR="006B39EF">
        <w:rPr>
          <w:rFonts w:cs="Arial"/>
        </w:rPr>
        <w:t xml:space="preserve">the </w:t>
      </w:r>
      <w:r w:rsidR="5B56D772" w:rsidRPr="006B5C3C">
        <w:rPr>
          <w:rFonts w:cs="Arial"/>
        </w:rPr>
        <w:t>Income Tax Waiver for Low-Income Citizens (exempting</w:t>
      </w:r>
      <w:r w:rsidR="772D98EE">
        <w:rPr>
          <w:rFonts w:cs="Arial"/>
        </w:rPr>
        <w:t xml:space="preserve"> firms</w:t>
      </w:r>
      <w:r w:rsidR="5B56D772" w:rsidRPr="006B5C3C">
        <w:rPr>
          <w:rFonts w:cs="Arial"/>
        </w:rPr>
        <w:t xml:space="preserve"> from income tax for citizens with monthly income less than </w:t>
      </w:r>
      <w:r w:rsidR="006B39EF">
        <w:rPr>
          <w:rFonts w:cs="Arial"/>
        </w:rPr>
        <w:t>GEL</w:t>
      </w:r>
      <w:r w:rsidR="00EA08B1" w:rsidRPr="006B5C3C">
        <w:rPr>
          <w:rFonts w:cs="Arial"/>
        </w:rPr>
        <w:t>750</w:t>
      </w:r>
      <w:r w:rsidR="006B39EF">
        <w:rPr>
          <w:rFonts w:cs="Arial"/>
        </w:rPr>
        <w:t>,</w:t>
      </w:r>
      <w:r w:rsidR="772D98EE">
        <w:rPr>
          <w:rFonts w:cs="Arial"/>
        </w:rPr>
        <w:t xml:space="preserve"> provided workers are kept </w:t>
      </w:r>
      <w:r w:rsidR="006B39EF">
        <w:rPr>
          <w:rFonts w:cs="Arial"/>
        </w:rPr>
        <w:t>on</w:t>
      </w:r>
      <w:r w:rsidR="772D98EE">
        <w:rPr>
          <w:rFonts w:cs="Arial"/>
        </w:rPr>
        <w:t xml:space="preserve"> payroll</w:t>
      </w:r>
      <w:r w:rsidR="5B56D772" w:rsidRPr="006B5C3C">
        <w:rPr>
          <w:rFonts w:cs="Arial"/>
        </w:rPr>
        <w:t>)</w:t>
      </w:r>
      <w:r w:rsidR="08A67951" w:rsidRPr="5D84ACAA">
        <w:rPr>
          <w:rFonts w:cs="Arial"/>
        </w:rPr>
        <w:t>; and</w:t>
      </w:r>
      <w:r w:rsidR="5B56D772" w:rsidRPr="006B5C3C">
        <w:rPr>
          <w:rFonts w:cs="Arial"/>
        </w:rPr>
        <w:t xml:space="preserve"> </w:t>
      </w:r>
      <w:r w:rsidR="08A67951" w:rsidRPr="5D84ACAA">
        <w:rPr>
          <w:rFonts w:cs="Arial"/>
        </w:rPr>
        <w:t xml:space="preserve">(iii) </w:t>
      </w:r>
      <w:r w:rsidR="006B39EF">
        <w:rPr>
          <w:rFonts w:cs="Arial"/>
        </w:rPr>
        <w:t xml:space="preserve">the </w:t>
      </w:r>
      <w:r w:rsidR="5B56D772" w:rsidRPr="006B5C3C">
        <w:rPr>
          <w:rFonts w:cs="Arial"/>
        </w:rPr>
        <w:t>Informal Sector Assistance (one</w:t>
      </w:r>
      <w:r w:rsidR="006B39EF">
        <w:rPr>
          <w:rFonts w:cs="Arial"/>
        </w:rPr>
        <w:t>-</w:t>
      </w:r>
      <w:r w:rsidR="5B56D772" w:rsidRPr="006B5C3C">
        <w:rPr>
          <w:rFonts w:cs="Arial"/>
        </w:rPr>
        <w:t xml:space="preserve">time </w:t>
      </w:r>
      <w:r w:rsidR="006B39EF">
        <w:rPr>
          <w:rFonts w:cs="Arial"/>
        </w:rPr>
        <w:t>GEL</w:t>
      </w:r>
      <w:r w:rsidR="00EA08B1" w:rsidRPr="006B5C3C">
        <w:rPr>
          <w:rFonts w:cs="Arial"/>
        </w:rPr>
        <w:t>300).</w:t>
      </w:r>
      <w:r w:rsidR="001227A1">
        <w:rPr>
          <w:rStyle w:val="FootnoteReference"/>
          <w:rFonts w:cs="Arial"/>
        </w:rPr>
        <w:footnoteReference w:id="46"/>
      </w:r>
      <w:r w:rsidR="5B56D772" w:rsidRPr="006B5C3C">
        <w:rPr>
          <w:rFonts w:cs="Arial"/>
        </w:rPr>
        <w:t xml:space="preserve"> </w:t>
      </w:r>
      <w:r w:rsidR="2B3EA30C">
        <w:rPr>
          <w:rFonts w:cs="Arial"/>
        </w:rPr>
        <w:t>As the</w:t>
      </w:r>
      <w:r w:rsidR="5B56D772" w:rsidRPr="006B5C3C">
        <w:rPr>
          <w:rFonts w:cs="Arial"/>
        </w:rPr>
        <w:t xml:space="preserve"> economy </w:t>
      </w:r>
      <w:r w:rsidR="2B3EA30C">
        <w:rPr>
          <w:rFonts w:cs="Arial"/>
        </w:rPr>
        <w:t xml:space="preserve">begins </w:t>
      </w:r>
      <w:r w:rsidR="001B71A6">
        <w:rPr>
          <w:rFonts w:cs="Arial"/>
        </w:rPr>
        <w:t>to recover</w:t>
      </w:r>
      <w:r w:rsidR="2B3EA30C">
        <w:rPr>
          <w:rFonts w:cs="Arial"/>
        </w:rPr>
        <w:t xml:space="preserve"> </w:t>
      </w:r>
      <w:r w:rsidR="5B56D772" w:rsidRPr="006B5C3C">
        <w:rPr>
          <w:rFonts w:cs="Arial"/>
        </w:rPr>
        <w:t>and the</w:t>
      </w:r>
      <w:r w:rsidR="2B3EA30C">
        <w:rPr>
          <w:rFonts w:cs="Arial"/>
        </w:rPr>
        <w:t>se</w:t>
      </w:r>
      <w:r w:rsidR="5B56D772" w:rsidRPr="006B5C3C">
        <w:rPr>
          <w:rFonts w:cs="Arial"/>
        </w:rPr>
        <w:t xml:space="preserve"> benefits </w:t>
      </w:r>
      <w:r w:rsidR="2B3EA30C">
        <w:rPr>
          <w:rFonts w:cs="Arial"/>
        </w:rPr>
        <w:t>are</w:t>
      </w:r>
      <w:r w:rsidR="00663920">
        <w:rPr>
          <w:rFonts w:cs="Arial"/>
        </w:rPr>
        <w:t xml:space="preserve"> gradually</w:t>
      </w:r>
      <w:r w:rsidR="2B3EA30C">
        <w:rPr>
          <w:rFonts w:cs="Arial"/>
        </w:rPr>
        <w:t xml:space="preserve"> lifted</w:t>
      </w:r>
      <w:r w:rsidR="5B56D772" w:rsidRPr="006B5C3C">
        <w:rPr>
          <w:rFonts w:cs="Arial"/>
        </w:rPr>
        <w:t>, it is expected that significant parts of the population will not have job opportunities</w:t>
      </w:r>
      <w:r w:rsidR="00E8444A">
        <w:rPr>
          <w:rFonts w:cs="Arial"/>
        </w:rPr>
        <w:t xml:space="preserve"> and</w:t>
      </w:r>
      <w:r w:rsidR="00A86AAA">
        <w:rPr>
          <w:rFonts w:cs="Arial"/>
        </w:rPr>
        <w:t xml:space="preserve"> the unemployment rate widen.</w:t>
      </w:r>
      <w:r w:rsidR="5B56D772" w:rsidRPr="006B5C3C">
        <w:rPr>
          <w:rFonts w:cs="Arial"/>
        </w:rPr>
        <w:t xml:space="preserve"> </w:t>
      </w:r>
      <w:r w:rsidR="008F5AAB">
        <w:rPr>
          <w:rFonts w:cs="Arial"/>
        </w:rPr>
        <w:t>Employment preservation</w:t>
      </w:r>
      <w:r w:rsidR="004445C1">
        <w:rPr>
          <w:rFonts w:cs="Arial"/>
        </w:rPr>
        <w:t xml:space="preserve"> </w:t>
      </w:r>
      <w:r w:rsidR="00663920">
        <w:rPr>
          <w:rFonts w:cs="Arial"/>
        </w:rPr>
        <w:t>and</w:t>
      </w:r>
      <w:r w:rsidR="004445C1">
        <w:rPr>
          <w:rFonts w:cs="Arial"/>
        </w:rPr>
        <w:t xml:space="preserve"> cash transfer measures targeting the poorest members of society </w:t>
      </w:r>
      <w:r w:rsidR="00663920">
        <w:rPr>
          <w:rFonts w:cs="Arial"/>
        </w:rPr>
        <w:t>are</w:t>
      </w:r>
      <w:r w:rsidR="004445C1">
        <w:rPr>
          <w:rFonts w:cs="Arial"/>
        </w:rPr>
        <w:t xml:space="preserve"> expected </w:t>
      </w:r>
      <w:r w:rsidR="5795695E" w:rsidRPr="006B5C3C">
        <w:rPr>
          <w:rFonts w:cs="Arial"/>
        </w:rPr>
        <w:t>to</w:t>
      </w:r>
      <w:r w:rsidR="00945B67" w:rsidRPr="006B5C3C">
        <w:rPr>
          <w:rFonts w:cs="Arial"/>
        </w:rPr>
        <w:t xml:space="preserve"> </w:t>
      </w:r>
      <w:r w:rsidR="00D815A2">
        <w:rPr>
          <w:rFonts w:cs="Arial"/>
        </w:rPr>
        <w:t>limit</w:t>
      </w:r>
      <w:r w:rsidR="5795695E" w:rsidRPr="006B5C3C">
        <w:rPr>
          <w:rFonts w:cs="Arial"/>
        </w:rPr>
        <w:t xml:space="preserve"> </w:t>
      </w:r>
      <w:r w:rsidR="00655627">
        <w:rPr>
          <w:rFonts w:cs="Arial"/>
        </w:rPr>
        <w:t xml:space="preserve">the increase in </w:t>
      </w:r>
      <w:r w:rsidR="5795695E" w:rsidRPr="006B5C3C">
        <w:rPr>
          <w:rFonts w:cs="Arial"/>
        </w:rPr>
        <w:t xml:space="preserve">poverty </w:t>
      </w:r>
      <w:r w:rsidR="00655627">
        <w:rPr>
          <w:rFonts w:cs="Arial"/>
        </w:rPr>
        <w:t>incidence</w:t>
      </w:r>
      <w:r w:rsidR="00E15F85">
        <w:t>.</w:t>
      </w:r>
      <w:r w:rsidR="00E15F85" w:rsidRPr="00AC7546">
        <w:t xml:space="preserve"> </w:t>
      </w:r>
      <w:r w:rsidR="5795695E" w:rsidRPr="006B5C3C">
        <w:rPr>
          <w:rFonts w:cs="Arial"/>
        </w:rPr>
        <w:t xml:space="preserve">Table 1 shows </w:t>
      </w:r>
      <w:r w:rsidR="00BF00BB">
        <w:rPr>
          <w:rFonts w:cs="Arial"/>
        </w:rPr>
        <w:t xml:space="preserve">that even </w:t>
      </w:r>
      <w:r w:rsidR="00BD2913">
        <w:rPr>
          <w:rFonts w:cs="Arial"/>
        </w:rPr>
        <w:t xml:space="preserve">the government’s Anti Crisis Plan </w:t>
      </w:r>
      <w:r w:rsidR="00BF00BB">
        <w:rPr>
          <w:rFonts w:cs="Arial"/>
        </w:rPr>
        <w:t>is expected to mitigate the growth in</w:t>
      </w:r>
      <w:r w:rsidR="00BD2913">
        <w:rPr>
          <w:rFonts w:cs="Arial"/>
        </w:rPr>
        <w:t xml:space="preserve"> the </w:t>
      </w:r>
      <w:r w:rsidR="5795695E" w:rsidRPr="006B5C3C">
        <w:rPr>
          <w:rFonts w:cs="Arial"/>
        </w:rPr>
        <w:t xml:space="preserve">poverty headcount index </w:t>
      </w:r>
      <w:r w:rsidR="00BD2913">
        <w:rPr>
          <w:rFonts w:cs="Arial"/>
        </w:rPr>
        <w:t>across the income distribution curve</w:t>
      </w:r>
      <w:r w:rsidR="5795695E" w:rsidRPr="006B5C3C">
        <w:rPr>
          <w:rFonts w:cs="Arial"/>
        </w:rPr>
        <w:t xml:space="preserve">, </w:t>
      </w:r>
      <w:r w:rsidR="00C56F96">
        <w:rPr>
          <w:rFonts w:cs="Arial"/>
        </w:rPr>
        <w:t>the poverty headcount index is nonetheless expected to increase significantly.</w:t>
      </w:r>
      <w:r w:rsidR="00BF00BB">
        <w:rPr>
          <w:rFonts w:cs="Arial"/>
        </w:rPr>
        <w:t xml:space="preserve"> </w:t>
      </w:r>
      <w:r w:rsidR="00B9444F">
        <w:rPr>
          <w:rFonts w:cs="Arial"/>
          <w:color w:val="000000" w:themeColor="text1"/>
        </w:rPr>
        <w:t xml:space="preserve">Government is acutely aware of the need to reform existing social protection systems to </w:t>
      </w:r>
      <w:r w:rsidR="00F46BDB">
        <w:rPr>
          <w:rFonts w:cs="Arial"/>
          <w:color w:val="000000" w:themeColor="text1"/>
        </w:rPr>
        <w:t>mitigate</w:t>
      </w:r>
      <w:r w:rsidR="00B9444F">
        <w:rPr>
          <w:rFonts w:cs="Arial"/>
          <w:color w:val="000000" w:themeColor="text1"/>
        </w:rPr>
        <w:t xml:space="preserve"> the medium</w:t>
      </w:r>
      <w:r w:rsidR="005D73E9">
        <w:rPr>
          <w:rFonts w:cs="Arial"/>
          <w:color w:val="000000" w:themeColor="text1"/>
        </w:rPr>
        <w:t>-</w:t>
      </w:r>
      <w:r w:rsidR="00B9444F">
        <w:rPr>
          <w:rFonts w:cs="Arial"/>
          <w:color w:val="000000" w:themeColor="text1"/>
        </w:rPr>
        <w:t>term impact of COVID-19 on unemployment</w:t>
      </w:r>
      <w:r w:rsidR="005D73E9">
        <w:rPr>
          <w:rFonts w:cs="Arial"/>
          <w:color w:val="000000" w:themeColor="text1"/>
        </w:rPr>
        <w:t xml:space="preserve"> </w:t>
      </w:r>
      <w:r w:rsidR="00F46BDB">
        <w:rPr>
          <w:rFonts w:cs="Arial"/>
          <w:color w:val="000000" w:themeColor="text1"/>
        </w:rPr>
        <w:t>and poverty</w:t>
      </w:r>
      <w:r w:rsidR="005D73E9">
        <w:rPr>
          <w:rFonts w:cs="Arial"/>
          <w:color w:val="000000" w:themeColor="text1"/>
        </w:rPr>
        <w:t xml:space="preserve"> ina  fiscally sustainable and gender sensitive fashion</w:t>
      </w:r>
      <w:r w:rsidR="00F46BDB">
        <w:rPr>
          <w:rFonts w:cs="Arial"/>
          <w:color w:val="000000" w:themeColor="text1"/>
        </w:rPr>
        <w:t xml:space="preserve">. </w:t>
      </w:r>
      <w:r w:rsidR="00473112">
        <w:t>A</w:t>
      </w:r>
      <w:r w:rsidR="00EE75AF">
        <w:t>s of 2018, 24% of Georgians were beneficiaries of at least one social protection scheme with women constituting 64.9% of all recipients</w:t>
      </w:r>
      <w:r w:rsidR="00A7069F">
        <w:t xml:space="preserve"> highlighting the need for a gender-sensitive approach to social protection reform</w:t>
      </w:r>
      <w:r w:rsidR="00EE75AF">
        <w:t xml:space="preserve">. </w:t>
      </w:r>
      <w:r w:rsidR="5BDF7CEC">
        <w:rPr>
          <w:rFonts w:cs="Arial"/>
          <w:color w:val="000000" w:themeColor="text1"/>
        </w:rPr>
        <w:t xml:space="preserve"> The </w:t>
      </w:r>
      <w:r w:rsidR="65CEE34C" w:rsidRPr="5D84ACAA">
        <w:rPr>
          <w:rFonts w:cs="Arial"/>
          <w:color w:val="000000" w:themeColor="text1"/>
        </w:rPr>
        <w:t xml:space="preserve">MEL </w:t>
      </w:r>
      <w:r w:rsidR="5BDF7CEC">
        <w:rPr>
          <w:rFonts w:cs="Arial"/>
          <w:color w:val="000000" w:themeColor="text1"/>
        </w:rPr>
        <w:t xml:space="preserve">Lab, set up with ADB support under the </w:t>
      </w:r>
      <w:r w:rsidR="1C18687D" w:rsidRPr="5D84ACAA">
        <w:rPr>
          <w:rFonts w:cs="Arial"/>
          <w:color w:val="000000" w:themeColor="text1"/>
        </w:rPr>
        <w:t>COVID-19 Active Response and Expenditure Support Program (</w:t>
      </w:r>
      <w:r w:rsidR="5BDF7CEC">
        <w:rPr>
          <w:rFonts w:cs="Arial"/>
          <w:color w:val="000000" w:themeColor="text1"/>
        </w:rPr>
        <w:t>CARES</w:t>
      </w:r>
      <w:r w:rsidR="1C18687D" w:rsidRPr="5D84ACAA">
        <w:rPr>
          <w:rFonts w:cs="Arial"/>
          <w:color w:val="000000" w:themeColor="text1"/>
        </w:rPr>
        <w:t>)</w:t>
      </w:r>
      <w:r w:rsidR="5BDF7CEC">
        <w:rPr>
          <w:rFonts w:cs="Arial"/>
          <w:color w:val="000000" w:themeColor="text1"/>
        </w:rPr>
        <w:t xml:space="preserve"> Program, will help provide the necessary </w:t>
      </w:r>
      <w:r w:rsidR="00A7069F">
        <w:rPr>
          <w:rFonts w:cs="Arial"/>
          <w:color w:val="000000" w:themeColor="text1"/>
        </w:rPr>
        <w:t xml:space="preserve">sex-disaggregate </w:t>
      </w:r>
      <w:r w:rsidR="5BDF7CEC">
        <w:rPr>
          <w:rFonts w:cs="Arial"/>
          <w:color w:val="000000" w:themeColor="text1"/>
        </w:rPr>
        <w:t xml:space="preserve">data to inform policy design </w:t>
      </w:r>
      <w:r w:rsidR="00B7416E">
        <w:rPr>
          <w:rFonts w:cs="Arial"/>
          <w:color w:val="000000" w:themeColor="text1"/>
        </w:rPr>
        <w:t xml:space="preserve">aiming </w:t>
      </w:r>
      <w:r w:rsidR="5BDF7CEC">
        <w:rPr>
          <w:rFonts w:cs="Arial"/>
          <w:color w:val="000000" w:themeColor="text1"/>
        </w:rPr>
        <w:t xml:space="preserve">to </w:t>
      </w:r>
      <w:r w:rsidR="00150369">
        <w:rPr>
          <w:rFonts w:cs="Arial"/>
          <w:color w:val="000000" w:themeColor="text1"/>
        </w:rPr>
        <w:t xml:space="preserve">avoid </w:t>
      </w:r>
      <w:r w:rsidR="00256271">
        <w:rPr>
          <w:rFonts w:cs="Arial"/>
          <w:color w:val="000000" w:themeColor="text1"/>
        </w:rPr>
        <w:t xml:space="preserve">rising </w:t>
      </w:r>
      <w:r w:rsidR="000463DE">
        <w:rPr>
          <w:rFonts w:cs="Arial"/>
          <w:color w:val="000000" w:themeColor="text1"/>
        </w:rPr>
        <w:t>unemployment</w:t>
      </w:r>
      <w:r w:rsidR="00F80016">
        <w:rPr>
          <w:rFonts w:cs="Arial"/>
          <w:color w:val="000000" w:themeColor="text1"/>
        </w:rPr>
        <w:t xml:space="preserve"> and provide adequate cash transfer support to the poorest members of society</w:t>
      </w:r>
      <w:r w:rsidR="00256271">
        <w:rPr>
          <w:rFonts w:cs="Arial"/>
          <w:color w:val="000000" w:themeColor="text1"/>
        </w:rPr>
        <w:t>.</w:t>
      </w:r>
      <w:r w:rsidR="000463DE">
        <w:rPr>
          <w:rFonts w:cs="Arial"/>
          <w:color w:val="000000" w:themeColor="text1"/>
        </w:rPr>
        <w:t xml:space="preserve"> </w:t>
      </w:r>
    </w:p>
    <w:p w14:paraId="266EE19C" w14:textId="77777777" w:rsidR="00705F3F" w:rsidRDefault="00705F3F">
      <w:pPr>
        <w:rPr>
          <w:rFonts w:cs="Arial"/>
          <w:color w:val="FF0000"/>
        </w:rPr>
      </w:pPr>
    </w:p>
    <w:p w14:paraId="2C752920" w14:textId="5B987E63" w:rsidR="00952403" w:rsidRPr="00AA5BA4" w:rsidRDefault="00DE162D" w:rsidP="00834A3C">
      <w:pPr>
        <w:pStyle w:val="Heading2"/>
        <w:ind w:left="0" w:firstLine="0"/>
      </w:pPr>
      <w:bookmarkStart w:id="8" w:name="_Toc49870245"/>
      <w:r>
        <w:rPr>
          <w:snapToGrid w:val="0"/>
        </w:rPr>
        <w:t>Policy Reform and ADB’s Value Addition</w:t>
      </w:r>
      <w:bookmarkEnd w:id="8"/>
    </w:p>
    <w:p w14:paraId="094E36B0" w14:textId="21405904" w:rsidR="00952403" w:rsidRPr="00952403" w:rsidRDefault="00952403" w:rsidP="00952403">
      <w:pPr>
        <w:pStyle w:val="ListParagraph"/>
        <w:ind w:left="0"/>
        <w:jc w:val="both"/>
        <w:rPr>
          <w:rFonts w:cs="Arial"/>
          <w:color w:val="000000" w:themeColor="text1"/>
        </w:rPr>
      </w:pPr>
    </w:p>
    <w:p w14:paraId="54F9546B" w14:textId="08C302D1" w:rsidR="00BC73EF" w:rsidRPr="00AF1024" w:rsidRDefault="0171BFB7" w:rsidP="00BC73EF">
      <w:pPr>
        <w:pStyle w:val="ListParagraph"/>
        <w:numPr>
          <w:ilvl w:val="0"/>
          <w:numId w:val="29"/>
        </w:numPr>
        <w:ind w:left="0" w:firstLine="0"/>
        <w:jc w:val="both"/>
        <w:rPr>
          <w:rFonts w:cs="Arial"/>
          <w:color w:val="FF0000"/>
        </w:rPr>
      </w:pPr>
      <w:r w:rsidRPr="5D84ACAA">
        <w:rPr>
          <w:rFonts w:cs="Arial"/>
          <w:color w:val="000000" w:themeColor="text1"/>
        </w:rPr>
        <w:t xml:space="preserve">The </w:t>
      </w:r>
      <w:r w:rsidR="22ED66CD" w:rsidRPr="5D84ACAA">
        <w:rPr>
          <w:rFonts w:cs="Arial"/>
          <w:color w:val="000000" w:themeColor="text1"/>
        </w:rPr>
        <w:t xml:space="preserve">proposed programmatic Policy Based Loan </w:t>
      </w:r>
      <w:r w:rsidR="36CF9E35" w:rsidRPr="5D84ACAA">
        <w:rPr>
          <w:rFonts w:cs="Arial"/>
          <w:color w:val="000000" w:themeColor="text1"/>
        </w:rPr>
        <w:t xml:space="preserve">supports the government’s efforts to </w:t>
      </w:r>
      <w:r w:rsidR="390F556E" w:rsidRPr="5D84ACAA">
        <w:rPr>
          <w:rFonts w:cs="Arial"/>
          <w:color w:val="000000" w:themeColor="text1"/>
        </w:rPr>
        <w:t xml:space="preserve">ensure </w:t>
      </w:r>
      <w:r w:rsidR="00C2608C">
        <w:rPr>
          <w:rFonts w:cs="Arial"/>
          <w:color w:val="000000" w:themeColor="text1"/>
        </w:rPr>
        <w:t>macroeconomic</w:t>
      </w:r>
      <w:r w:rsidR="390F556E" w:rsidRPr="5D84ACAA">
        <w:rPr>
          <w:rFonts w:cs="Arial"/>
          <w:color w:val="000000" w:themeColor="text1"/>
        </w:rPr>
        <w:t xml:space="preserve"> stability without compromising key social spending that supports the livelihoods of those most affected by the COVID-19 crisis. To this end, the Program is composed </w:t>
      </w:r>
      <w:r w:rsidR="0090641C">
        <w:rPr>
          <w:rFonts w:cs="Arial"/>
          <w:color w:val="000000" w:themeColor="text1"/>
        </w:rPr>
        <w:t>of</w:t>
      </w:r>
      <w:r w:rsidR="390F556E" w:rsidRPr="5D84ACAA">
        <w:rPr>
          <w:rFonts w:cs="Arial"/>
          <w:color w:val="000000" w:themeColor="text1"/>
        </w:rPr>
        <w:t xml:space="preserve"> </w:t>
      </w:r>
      <w:r w:rsidRPr="5D84ACAA">
        <w:rPr>
          <w:rFonts w:cs="Arial"/>
          <w:color w:val="000000" w:themeColor="text1"/>
        </w:rPr>
        <w:t xml:space="preserve">two subprograms that support the </w:t>
      </w:r>
      <w:r w:rsidR="00632645">
        <w:rPr>
          <w:rFonts w:cs="Arial"/>
          <w:color w:val="000000" w:themeColor="text1"/>
        </w:rPr>
        <w:t xml:space="preserve">governments reform </w:t>
      </w:r>
      <w:r w:rsidR="74C114CC" w:rsidRPr="5D84ACAA">
        <w:rPr>
          <w:rFonts w:cs="Arial"/>
          <w:color w:val="000000" w:themeColor="text1"/>
        </w:rPr>
        <w:t>efforts</w:t>
      </w:r>
      <w:r w:rsidRPr="5D84ACAA">
        <w:rPr>
          <w:rFonts w:cs="Arial"/>
          <w:color w:val="000000" w:themeColor="text1"/>
        </w:rPr>
        <w:t xml:space="preserve"> </w:t>
      </w:r>
      <w:r w:rsidR="390F556E" w:rsidRPr="5D84ACAA">
        <w:rPr>
          <w:rFonts w:cs="Arial"/>
          <w:color w:val="000000" w:themeColor="text1"/>
        </w:rPr>
        <w:t xml:space="preserve">across </w:t>
      </w:r>
      <w:r w:rsidRPr="5D84ACAA">
        <w:rPr>
          <w:rFonts w:cs="Arial"/>
          <w:color w:val="000000" w:themeColor="text1"/>
        </w:rPr>
        <w:t>three main areas: (i) strengthening public management of fiscal risk exposure</w:t>
      </w:r>
      <w:r w:rsidR="709F21C7" w:rsidRPr="5D84ACAA">
        <w:rPr>
          <w:rFonts w:cs="Arial"/>
          <w:color w:val="000000" w:themeColor="text1"/>
        </w:rPr>
        <w:t xml:space="preserve"> which has been magnified as a result of the COVID-19 crisis</w:t>
      </w:r>
      <w:r w:rsidRPr="5D84ACAA">
        <w:rPr>
          <w:rFonts w:cs="Arial"/>
          <w:color w:val="000000" w:themeColor="text1"/>
        </w:rPr>
        <w:t>; (ii) deepening domestic debt markets for government securities</w:t>
      </w:r>
      <w:r w:rsidR="709F21C7" w:rsidRPr="5D84ACAA">
        <w:rPr>
          <w:rFonts w:cs="Arial"/>
          <w:color w:val="000000" w:themeColor="text1"/>
        </w:rPr>
        <w:t xml:space="preserve"> to mitigate </w:t>
      </w:r>
      <w:r w:rsidR="39CE1D21" w:rsidRPr="5D84ACAA">
        <w:rPr>
          <w:rFonts w:cs="Arial"/>
          <w:color w:val="000000" w:themeColor="text1"/>
        </w:rPr>
        <w:t xml:space="preserve">public exposure to risks associated with external </w:t>
      </w:r>
      <w:r w:rsidR="6A2201C5" w:rsidRPr="5D84ACAA">
        <w:rPr>
          <w:rFonts w:cs="Arial"/>
          <w:color w:val="000000" w:themeColor="text1"/>
        </w:rPr>
        <w:t xml:space="preserve">should </w:t>
      </w:r>
      <w:r w:rsidR="006839B4">
        <w:rPr>
          <w:rFonts w:cs="Arial"/>
          <w:color w:val="000000" w:themeColor="text1"/>
        </w:rPr>
        <w:t>there</w:t>
      </w:r>
      <w:r w:rsidR="6A2201C5" w:rsidRPr="5D84ACAA">
        <w:rPr>
          <w:rFonts w:cs="Arial"/>
          <w:color w:val="000000" w:themeColor="text1"/>
        </w:rPr>
        <w:t xml:space="preserve"> be a need for further fiscal stimulus to address </w:t>
      </w:r>
      <w:r w:rsidR="007103A5">
        <w:rPr>
          <w:rFonts w:cs="Arial"/>
          <w:color w:val="000000" w:themeColor="text1"/>
        </w:rPr>
        <w:t>socioeconomic</w:t>
      </w:r>
      <w:r w:rsidR="6A2201C5" w:rsidRPr="5D84ACAA">
        <w:rPr>
          <w:rFonts w:cs="Arial"/>
          <w:color w:val="000000" w:themeColor="text1"/>
        </w:rPr>
        <w:t xml:space="preserve"> impacts of COVID-19</w:t>
      </w:r>
      <w:r w:rsidRPr="5D84ACAA">
        <w:rPr>
          <w:rFonts w:cs="Arial"/>
          <w:color w:val="000000" w:themeColor="text1"/>
        </w:rPr>
        <w:t xml:space="preserve">; </w:t>
      </w:r>
      <w:r w:rsidR="2C940B66" w:rsidRPr="5D84ACAA">
        <w:rPr>
          <w:rFonts w:cs="Arial"/>
          <w:color w:val="000000" w:themeColor="text1"/>
        </w:rPr>
        <w:t xml:space="preserve">and </w:t>
      </w:r>
      <w:r w:rsidRPr="5D84ACAA">
        <w:rPr>
          <w:rFonts w:cs="Arial"/>
          <w:color w:val="000000" w:themeColor="text1"/>
        </w:rPr>
        <w:t>(iii) strengthening adequacy and fiscal sustainability of social protection programs</w:t>
      </w:r>
      <w:r w:rsidR="6A2201C5" w:rsidRPr="5D84ACAA">
        <w:rPr>
          <w:rFonts w:cs="Arial"/>
          <w:color w:val="000000" w:themeColor="text1"/>
        </w:rPr>
        <w:t xml:space="preserve"> to protect livelihoods of those most affected by the COVID-19 crisis</w:t>
      </w:r>
      <w:r w:rsidRPr="5D84ACAA">
        <w:rPr>
          <w:rFonts w:cs="Arial"/>
          <w:color w:val="000000" w:themeColor="text1"/>
        </w:rPr>
        <w:t>.</w:t>
      </w:r>
      <w:r w:rsidR="22ED66CD" w:rsidRPr="5D84ACAA">
        <w:rPr>
          <w:rFonts w:cs="Arial"/>
          <w:color w:val="000000" w:themeColor="text1"/>
        </w:rPr>
        <w:t xml:space="preserve"> </w:t>
      </w:r>
      <w:r w:rsidR="54F25006" w:rsidRPr="5D84ACAA">
        <w:rPr>
          <w:rFonts w:cs="Arial"/>
          <w:color w:val="000000" w:themeColor="text1"/>
        </w:rPr>
        <w:t xml:space="preserve">Institutional challenges across these three areas require a phased approach </w:t>
      </w:r>
      <w:r w:rsidR="678829E7" w:rsidRPr="5D84ACAA">
        <w:rPr>
          <w:rFonts w:cs="Arial"/>
          <w:color w:val="000000" w:themeColor="text1"/>
        </w:rPr>
        <w:t xml:space="preserve">under a programmatic approach. </w:t>
      </w:r>
      <w:r w:rsidR="6A4CC786" w:rsidRPr="5D84ACAA">
        <w:rPr>
          <w:rFonts w:cs="Arial"/>
          <w:color w:val="000000" w:themeColor="text1"/>
        </w:rPr>
        <w:t xml:space="preserve">The focus of Subprogram 1 is on policy actions that either </w:t>
      </w:r>
      <w:r w:rsidR="00976D6D">
        <w:rPr>
          <w:rFonts w:cs="Arial"/>
          <w:color w:val="000000" w:themeColor="text1"/>
        </w:rPr>
        <w:t>address</w:t>
      </w:r>
      <w:r w:rsidR="00510D3D">
        <w:rPr>
          <w:rFonts w:cs="Arial"/>
          <w:color w:val="000000" w:themeColor="text1"/>
        </w:rPr>
        <w:t xml:space="preserve"> a</w:t>
      </w:r>
      <w:r w:rsidR="00744873">
        <w:rPr>
          <w:rFonts w:cs="Arial"/>
          <w:color w:val="000000" w:themeColor="text1"/>
        </w:rPr>
        <w:t>n</w:t>
      </w:r>
      <w:r w:rsidR="6A4CC786" w:rsidRPr="5D84ACAA">
        <w:rPr>
          <w:rFonts w:cs="Arial"/>
          <w:color w:val="000000" w:themeColor="text1"/>
        </w:rPr>
        <w:t xml:space="preserve"> immediate need or that lay the foundation for </w:t>
      </w:r>
      <w:r w:rsidR="0D6E7511" w:rsidRPr="5D84ACAA">
        <w:rPr>
          <w:rFonts w:cs="Arial"/>
          <w:color w:val="000000" w:themeColor="text1"/>
        </w:rPr>
        <w:t xml:space="preserve">more tangible policy reforms being achieved under Subprogram 2. </w:t>
      </w:r>
      <w:r w:rsidR="10782948" w:rsidRPr="5D84ACAA">
        <w:rPr>
          <w:rFonts w:cs="Arial"/>
          <w:color w:val="000000" w:themeColor="text1"/>
        </w:rPr>
        <w:t xml:space="preserve">The total budget support provided under the </w:t>
      </w:r>
      <w:r w:rsidR="00626712">
        <w:rPr>
          <w:rFonts w:cs="Arial"/>
          <w:color w:val="000000" w:themeColor="text1"/>
        </w:rPr>
        <w:t>p</w:t>
      </w:r>
      <w:r w:rsidR="008B657F">
        <w:rPr>
          <w:rFonts w:cs="Arial"/>
          <w:color w:val="000000" w:themeColor="text1"/>
        </w:rPr>
        <w:t>rogram</w:t>
      </w:r>
      <w:r w:rsidR="10782948" w:rsidRPr="5D84ACAA">
        <w:rPr>
          <w:rFonts w:cs="Arial"/>
          <w:color w:val="000000" w:themeColor="text1"/>
        </w:rPr>
        <w:t xml:space="preserve"> is of $300 million, of which $200 million are to be </w:t>
      </w:r>
      <w:r w:rsidR="008263A7">
        <w:rPr>
          <w:rFonts w:cs="Arial"/>
          <w:color w:val="000000" w:themeColor="text1"/>
        </w:rPr>
        <w:t>disbursed</w:t>
      </w:r>
      <w:r w:rsidR="10782948" w:rsidRPr="5D84ACAA">
        <w:rPr>
          <w:rFonts w:cs="Arial"/>
          <w:color w:val="000000" w:themeColor="text1"/>
        </w:rPr>
        <w:t xml:space="preserve"> upon approval of Subprogram 1 in October 2020 and $100 million under Subprogram 2 in 2021. </w:t>
      </w:r>
    </w:p>
    <w:p w14:paraId="3C4FB98F" w14:textId="77777777" w:rsidR="00AF1024" w:rsidRPr="00BC73EF" w:rsidRDefault="00AF1024" w:rsidP="00AF1024">
      <w:pPr>
        <w:pStyle w:val="ListParagraph"/>
        <w:ind w:left="0"/>
        <w:jc w:val="both"/>
        <w:rPr>
          <w:rFonts w:cs="Arial"/>
          <w:color w:val="FF0000"/>
        </w:rPr>
      </w:pPr>
    </w:p>
    <w:p w14:paraId="6CEB4BA3" w14:textId="5FAB78E2" w:rsidR="001E7F56" w:rsidRPr="00BC73EF" w:rsidRDefault="4F5AB9EC" w:rsidP="00BC73EF">
      <w:pPr>
        <w:pStyle w:val="ListParagraph"/>
        <w:numPr>
          <w:ilvl w:val="0"/>
          <w:numId w:val="29"/>
        </w:numPr>
        <w:ind w:left="0" w:firstLine="0"/>
        <w:jc w:val="both"/>
        <w:rPr>
          <w:rFonts w:cs="Arial"/>
          <w:color w:val="FF0000"/>
        </w:rPr>
      </w:pPr>
      <w:r w:rsidRPr="00BC73EF">
        <w:rPr>
          <w:b/>
          <w:bCs/>
          <w:color w:val="000000" w:themeColor="text1"/>
        </w:rPr>
        <w:t>Reform area</w:t>
      </w:r>
      <w:r w:rsidR="5052CDB8" w:rsidRPr="00BC73EF">
        <w:rPr>
          <w:b/>
          <w:bCs/>
          <w:color w:val="000000" w:themeColor="text1"/>
        </w:rPr>
        <w:t xml:space="preserve"> 1:</w:t>
      </w:r>
      <w:r w:rsidR="5052CDB8" w:rsidRPr="00BC73EF">
        <w:rPr>
          <w:color w:val="000000" w:themeColor="text1"/>
        </w:rPr>
        <w:t xml:space="preserve"> </w:t>
      </w:r>
      <w:r w:rsidR="006B53B4">
        <w:rPr>
          <w:b/>
          <w:bCs/>
          <w:color w:val="000000" w:themeColor="text1"/>
        </w:rPr>
        <w:t>Strenghtening management</w:t>
      </w:r>
      <w:r w:rsidR="00F732A1" w:rsidRPr="00BC73EF">
        <w:rPr>
          <w:b/>
          <w:bCs/>
          <w:color w:val="000000" w:themeColor="text1"/>
        </w:rPr>
        <w:t xml:space="preserve"> of public exposure to fiscal risks</w:t>
      </w:r>
      <w:r w:rsidR="006B53B4">
        <w:rPr>
          <w:b/>
          <w:bCs/>
          <w:color w:val="000000" w:themeColor="text1"/>
        </w:rPr>
        <w:t xml:space="preserve">. </w:t>
      </w:r>
      <w:r w:rsidR="7870971F" w:rsidRPr="00BC73EF">
        <w:rPr>
          <w:color w:val="000000" w:themeColor="text1"/>
        </w:rPr>
        <w:t xml:space="preserve">The objective of this reform area is to </w:t>
      </w:r>
      <w:r w:rsidR="654A2FCF" w:rsidRPr="00BC73EF">
        <w:rPr>
          <w:color w:val="000000" w:themeColor="text1"/>
        </w:rPr>
        <w:t xml:space="preserve">strengthen management of public exposure to fiscal risks </w:t>
      </w:r>
      <w:r w:rsidR="7870971F" w:rsidRPr="00BC73EF">
        <w:rPr>
          <w:color w:val="000000" w:themeColor="text1"/>
        </w:rPr>
        <w:t>stemming from PP</w:t>
      </w:r>
      <w:r w:rsidR="654A2FCF" w:rsidRPr="00BC73EF">
        <w:rPr>
          <w:color w:val="000000" w:themeColor="text1"/>
        </w:rPr>
        <w:t>Ps/PPAs</w:t>
      </w:r>
      <w:r w:rsidR="7870971F" w:rsidRPr="00BC73EF">
        <w:rPr>
          <w:color w:val="000000" w:themeColor="text1"/>
        </w:rPr>
        <w:t xml:space="preserve"> and SOEs</w:t>
      </w:r>
      <w:r w:rsidR="2A91DFE6" w:rsidRPr="00BC73EF">
        <w:rPr>
          <w:color w:val="000000" w:themeColor="text1"/>
        </w:rPr>
        <w:t xml:space="preserve"> to mitigate the risk of hi</w:t>
      </w:r>
      <w:r w:rsidR="7D37F74E" w:rsidRPr="00BC73EF">
        <w:rPr>
          <w:color w:val="000000" w:themeColor="text1"/>
        </w:rPr>
        <w:t xml:space="preserve">dden deficit and </w:t>
      </w:r>
      <w:r w:rsidR="299E41B8" w:rsidRPr="00BC73EF">
        <w:rPr>
          <w:color w:val="000000" w:themeColor="text1"/>
        </w:rPr>
        <w:t xml:space="preserve">not to </w:t>
      </w:r>
      <w:r w:rsidR="7D37F74E" w:rsidRPr="00BC73EF">
        <w:rPr>
          <w:color w:val="000000" w:themeColor="text1"/>
        </w:rPr>
        <w:t xml:space="preserve">further </w:t>
      </w:r>
      <w:r w:rsidR="299E41B8" w:rsidRPr="00BC73EF">
        <w:rPr>
          <w:color w:val="000000" w:themeColor="text1"/>
        </w:rPr>
        <w:t>decrease fiscal space</w:t>
      </w:r>
      <w:r w:rsidR="32608493" w:rsidRPr="00BC73EF">
        <w:rPr>
          <w:color w:val="000000" w:themeColor="text1"/>
        </w:rPr>
        <w:t xml:space="preserve"> </w:t>
      </w:r>
      <w:r w:rsidR="6BD916E0" w:rsidRPr="00BC73EF">
        <w:rPr>
          <w:color w:val="000000" w:themeColor="text1"/>
        </w:rPr>
        <w:t>to support</w:t>
      </w:r>
      <w:r w:rsidR="7D37F74E" w:rsidRPr="00BC73EF">
        <w:rPr>
          <w:color w:val="000000" w:themeColor="text1"/>
        </w:rPr>
        <w:t xml:space="preserve"> an inclusive and sustainable recovery</w:t>
      </w:r>
      <w:r w:rsidR="53DA6E55" w:rsidRPr="00BC73EF">
        <w:rPr>
          <w:color w:val="000000" w:themeColor="text1"/>
        </w:rPr>
        <w:t>.</w:t>
      </w:r>
      <w:r w:rsidR="7870971F" w:rsidRPr="00BC73EF">
        <w:rPr>
          <w:color w:val="000000" w:themeColor="text1"/>
        </w:rPr>
        <w:t xml:space="preserve"> </w:t>
      </w:r>
      <w:r w:rsidR="00F732A1" w:rsidRPr="00BC73EF">
        <w:rPr>
          <w:color w:val="000000" w:themeColor="text1"/>
        </w:rPr>
        <w:t xml:space="preserve">Under Subprogram 1, (i) MOF fully operationalized a dedicated Fiscal Risk Management Unit, which assess and quantify public exposure to fiscal risks stemming from SOEs and PPPs which are more likely to materialize as a result of the COVID-19 crisis, staffed with at least 7 technical staff of which at least 75% are women; (ii) MOF approved PPP Guidelines which include methodological guidelines for the </w:t>
      </w:r>
      <w:r w:rsidR="00F732A1" w:rsidRPr="00BC73EF">
        <w:rPr>
          <w:color w:val="000000" w:themeColor="text1"/>
        </w:rPr>
        <w:lastRenderedPageBreak/>
        <w:t>assessment of contingent liabilities and VfM methodology for PPP evaluations and completes PPP framework that ensures adequate identification, monitoring and reporting of fiscal risk stemming from PPPs; (iii) MOF, through the Fiscal Risk Management Division, expanded the scope of the Fiscal Risk Statement to include: disclosure and discussion of methodological instructions to identify, quantify, finance and report Quasi Fiscal Activities of SOEs; assessment of impact of COVID-19 on the likelihood that fiscal risks stemming from SOEs materialize in the short-medium term; expansion of fiscal risk analysis of SOEs from 12 to 13 individual SOEs; discussion on effect of SOE sectorization on Public Finance Statistics, including impact on public debt Law; analysis of SOEs from sectoral perspective, with the aim of normalizing financial</w:t>
      </w:r>
      <w:r w:rsidR="00BC73EF">
        <w:rPr>
          <w:color w:val="000000" w:themeColor="text1"/>
        </w:rPr>
        <w:t xml:space="preserve"> </w:t>
      </w:r>
      <w:r w:rsidR="00F732A1" w:rsidRPr="00BC73EF">
        <w:rPr>
          <w:color w:val="000000" w:themeColor="text1"/>
        </w:rPr>
        <w:t>statements from SOEs; assessment of stock of PPP liabilities based on International Public</w:t>
      </w:r>
      <w:r w:rsidR="00BC73EF" w:rsidRPr="00BC73EF">
        <w:rPr>
          <w:color w:val="000000" w:themeColor="text1"/>
        </w:rPr>
        <w:t xml:space="preserve"> </w:t>
      </w:r>
      <w:r w:rsidR="00BC73EF">
        <w:rPr>
          <w:color w:val="000000" w:themeColor="text1"/>
        </w:rPr>
        <w:t xml:space="preserve"> </w:t>
      </w:r>
      <w:r w:rsidR="00BC73EF" w:rsidRPr="00BC73EF">
        <w:rPr>
          <w:rFonts w:cs="Arial"/>
          <w:color w:val="000000"/>
        </w:rPr>
        <w:t xml:space="preserve">Sector Accounting Standards (IPSAS32) and VfM methodology for PPPs included in the recently approved PPP guidelines; and include draft discussion of fiscal risks stemming from natural disasters affecting municipalities. Under Subprogram 2, (i) GoG revises legislative framework of the SOE sector, increasing MOF’s role in SOE related fiscal risk management, developing a formal system to account and fund community service obligations, and increasing SOE accountability; (ii) MOF publishes a ministerial statement which includes (i) a rationale for SOE ownership; (ii) competitive Neutrality of SOEs; and (iii) an analysis of corporate governance practices in comparison with the OECD guidelines on transparent and (iv) a merit-based appointments of supervisory boards for all SOEs defined as Public Interest Entities comprising 90% of annual turnover. This statement will inform reforms to SOE corporate governance; (iii) MOF identifies and discloses fiscal risks stemming from Natural Disasters, including climate change related disasters and published it on MOF’s website to ensure comprehensive identification and reporting of fiscal risks; and (iv) MOF submits amendment on the Law of Public Debt of Georgia to Parliament which expand coverage of public sector debt statistics which helps strengthen management of fiscal risks. </w:t>
      </w:r>
    </w:p>
    <w:p w14:paraId="7EDAE925" w14:textId="77777777" w:rsidR="00F732A1" w:rsidRPr="00F732A1" w:rsidRDefault="00F732A1" w:rsidP="00F732A1">
      <w:pPr>
        <w:pStyle w:val="ListParagraph"/>
        <w:ind w:left="0"/>
        <w:jc w:val="both"/>
        <w:rPr>
          <w:rFonts w:cs="Arial"/>
          <w:color w:val="FF0000"/>
        </w:rPr>
      </w:pPr>
    </w:p>
    <w:p w14:paraId="7E25E890" w14:textId="5089544C" w:rsidR="00C815D3" w:rsidRPr="00D05234" w:rsidRDefault="7B38043F" w:rsidP="00B076B1">
      <w:pPr>
        <w:pStyle w:val="ListParagraph"/>
        <w:widowControl w:val="0"/>
        <w:numPr>
          <w:ilvl w:val="0"/>
          <w:numId w:val="29"/>
        </w:numPr>
        <w:ind w:left="0" w:firstLine="0"/>
        <w:jc w:val="both"/>
        <w:rPr>
          <w:rFonts w:cs="Arial"/>
          <w:color w:val="FF0000"/>
        </w:rPr>
      </w:pPr>
      <w:r w:rsidRPr="00D05234">
        <w:rPr>
          <w:rFonts w:cs="Arial"/>
          <w:b/>
          <w:bCs/>
          <w:color w:val="000000" w:themeColor="text1"/>
        </w:rPr>
        <w:t>Reform area</w:t>
      </w:r>
      <w:r w:rsidR="2C800651" w:rsidRPr="00D05234">
        <w:rPr>
          <w:rFonts w:cs="Arial"/>
          <w:b/>
          <w:bCs/>
          <w:color w:val="000000" w:themeColor="text1"/>
        </w:rPr>
        <w:t xml:space="preserve"> </w:t>
      </w:r>
      <w:r w:rsidR="5BE3E91F" w:rsidRPr="00D05234">
        <w:rPr>
          <w:rFonts w:cs="Arial"/>
          <w:b/>
          <w:bCs/>
          <w:color w:val="000000" w:themeColor="text1"/>
        </w:rPr>
        <w:t xml:space="preserve">2: </w:t>
      </w:r>
      <w:r w:rsidR="006B53B4">
        <w:rPr>
          <w:rFonts w:cs="Arial"/>
          <w:b/>
          <w:bCs/>
          <w:color w:val="000000" w:themeColor="text1"/>
        </w:rPr>
        <w:t>Deepening d</w:t>
      </w:r>
      <w:r w:rsidR="07429BA6" w:rsidRPr="00D05234">
        <w:rPr>
          <w:rFonts w:cs="Arial"/>
          <w:b/>
          <w:bCs/>
          <w:color w:val="000000" w:themeColor="text1"/>
        </w:rPr>
        <w:t>omestic market for government securities</w:t>
      </w:r>
      <w:r w:rsidR="206CAF51" w:rsidRPr="00D05234">
        <w:rPr>
          <w:rFonts w:cs="Arial"/>
          <w:b/>
          <w:bCs/>
          <w:color w:val="000000" w:themeColor="text1"/>
        </w:rPr>
        <w:t>.</w:t>
      </w:r>
      <w:r w:rsidR="46F27307" w:rsidRPr="00D05234">
        <w:rPr>
          <w:rFonts w:cs="Arial"/>
          <w:color w:val="000000" w:themeColor="text1"/>
        </w:rPr>
        <w:t xml:space="preserve"> </w:t>
      </w:r>
      <w:r w:rsidR="00D05234" w:rsidRPr="00D05234">
        <w:rPr>
          <w:rFonts w:cs="Arial"/>
          <w:color w:val="000000" w:themeColor="text1"/>
        </w:rPr>
        <w:t xml:space="preserve">The objective of this reform area is to address the adverse effects associated with high public sector exposure to foreign currency denominated debt, which was amplified by the crisis. To this end, the Program promotes institutional reforms which help further deepen the domestic debt market for government securities and, ultimately, reduce the share of public foreign currency denominated debt. This will help minimize public exposure to refinancing and currency risks which threaten macroeconomic stability, an essential precondition for economic recovery. Under Subprogram 1, (i) MOF and NBG commenced Primary Dealer Pilot with appropriate rights and obligations and PD rules published and Primary Dealers System to promote activity on the primary and secondary markets, ensuring decreased public reliance on external debt to finance future fiscal stimulus packages as the one needed to mitigate the adverse socio-economic impacts of COVID-19; (ii) MOF issued ministerial decree which mandates that the Debt Management Strategy is updated, approved and published on its website on an annual basis to increase predictability of the market for government domestic debt securities; (iii) MoF issued benchmark bonds with nominal value of at least GEL2 billion in 2020 to increase investor interest towards Georgian government securities and promote capital market development, which in turn ensures the growth of GEL liquidity; (iv) Parliament approved new Investment Funds Law needed to develop investment fund legal, regulatory and tax framework and creating an enabling environment for the development of capital markets in Georgia. Under Subprogram 2, (i) MOF and NBG add at least one new tenor to the PD Pilot and publish the plan of moving towards full-fledged PD System; (ii) MOF mandates Primary dealers to disclose and make publicly available all pre-trade and post-trade figures for all securities included in the PD system; (iii) MOF approves new Debt Management Strategy 2021–2023 which include an increase in the stock of domestic debt to at least 10% of GDP by October 2023 to deepen the domestic debt market for government securities; (iv) MOF adopts strategy to develop retail participation in Government bond market which may include a savings certificate </w:t>
      </w:r>
      <w:r w:rsidR="00D05234" w:rsidRPr="00D05234">
        <w:rPr>
          <w:rFonts w:cs="Arial"/>
          <w:color w:val="000000" w:themeColor="text1"/>
        </w:rPr>
        <w:lastRenderedPageBreak/>
        <w:t>style market issued electronically distributed by PO or Banks subject to deliberation with NBG; (v) GoG in collaboration with NBG approve Capital Market Development Strategy to promote mobilization of domestic private financial resources available to government and minimize reliance on external financing; (vi) GoG submits the law on Securitization to the Parliament to deepen capital markets by creating a new class of debt instruments and allowing access to new participants—corporates and others—to the market; and (vii) GoG submits the law on Covered Bonds to deepen</w:t>
      </w:r>
      <w:r w:rsidR="00640812" w:rsidRPr="00640812">
        <w:t xml:space="preserve"> </w:t>
      </w:r>
      <w:r w:rsidR="00640812" w:rsidRPr="00640812">
        <w:rPr>
          <w:rFonts w:cs="Arial"/>
          <w:color w:val="000000" w:themeColor="text1"/>
        </w:rPr>
        <w:t>domestic capital markets by widening the range of investment instruments available to investors.</w:t>
      </w:r>
    </w:p>
    <w:p w14:paraId="317C6702" w14:textId="77777777" w:rsidR="00D05234" w:rsidRPr="00D05234" w:rsidRDefault="00D05234" w:rsidP="00D05234">
      <w:pPr>
        <w:pStyle w:val="ListParagraph"/>
        <w:widowControl w:val="0"/>
        <w:ind w:left="0"/>
        <w:jc w:val="both"/>
        <w:rPr>
          <w:rFonts w:cs="Arial"/>
          <w:color w:val="FF0000"/>
        </w:rPr>
      </w:pPr>
    </w:p>
    <w:p w14:paraId="798B56C3" w14:textId="73189050" w:rsidR="00803DF2" w:rsidRPr="006B53B4" w:rsidRDefault="53F35F63" w:rsidP="00B076B1">
      <w:pPr>
        <w:pStyle w:val="ListParagraph"/>
        <w:numPr>
          <w:ilvl w:val="0"/>
          <w:numId w:val="29"/>
        </w:numPr>
        <w:ind w:left="0" w:firstLine="0"/>
        <w:jc w:val="both"/>
        <w:rPr>
          <w:rFonts w:cs="Arial"/>
          <w:color w:val="FF0000"/>
        </w:rPr>
      </w:pPr>
      <w:r w:rsidRPr="006B53B4">
        <w:rPr>
          <w:rFonts w:cs="Arial"/>
          <w:b/>
          <w:bCs/>
          <w:color w:val="000000" w:themeColor="text1"/>
        </w:rPr>
        <w:t xml:space="preserve">Reform area 3: Ensuring adequacy and fiscal sustainability of social protection programs which were </w:t>
      </w:r>
      <w:r w:rsidR="006E6568" w:rsidRPr="006B53B4">
        <w:rPr>
          <w:rFonts w:cs="Arial"/>
          <w:b/>
          <w:bCs/>
          <w:color w:val="000000" w:themeColor="text1"/>
        </w:rPr>
        <w:t>expanded</w:t>
      </w:r>
      <w:r w:rsidRPr="006B53B4">
        <w:rPr>
          <w:rFonts w:cs="Arial"/>
          <w:b/>
          <w:bCs/>
          <w:color w:val="000000" w:themeColor="text1"/>
        </w:rPr>
        <w:t xml:space="preserve"> during the crisis.</w:t>
      </w:r>
      <w:r w:rsidRPr="006B53B4">
        <w:rPr>
          <w:rFonts w:cs="Arial"/>
          <w:color w:val="000000" w:themeColor="text1"/>
        </w:rPr>
        <w:t xml:space="preserve"> </w:t>
      </w:r>
      <w:r w:rsidR="006B53B4" w:rsidRPr="006B53B4">
        <w:rPr>
          <w:rFonts w:cs="Arial"/>
          <w:color w:val="000000" w:themeColor="text1"/>
        </w:rPr>
        <w:t xml:space="preserve">The pandemic significantly impacted the financial wellbeing of senior citizens. To address this issue, the Government adopted reforms to ensure adequacy and fiscal sustainability of the pension scheme. Further, the COVID-19 pandemic shed light on the need for reform of other existing social protection systems in order to ensure that all those affected are given adequate financial support and increase the social resilience of the country in case of new crisis. The Program will support government in these initiatives to ensure that Georgia’s social protection infrastructure supports an inclusive return to economic growth. Under Subprogram 1, (i) Parliament approved revised budget in 2020 which includes an increase of at least GEL 30 in universal pension payout for pensioners aged 70 and above, 65% of whom are women, to mitigate the adverse impact of the COVID-19 crisis on old-age poverty; (ii) Parliament approved amendment to the Law of Georgia on State Pensions which introduces a rules-based mechanism for increases in payouts for universal pension beneficiaries, 70% of whom are women; (iii) Government of Georgia establishes and operationalizes an independent public Pension Agency for administration of the new supplementary contributory pension scheme (Pillar II pension scheme) where at least 50% of staff are women; (iv) </w:t>
      </w:r>
      <w:r w:rsidR="006C21E9" w:rsidRPr="006C21E9">
        <w:rPr>
          <w:rFonts w:cs="Arial"/>
          <w:color w:val="000000" w:themeColor="text1"/>
        </w:rPr>
        <w:t>Pension Agency ensured registration of 100% of formal employees and collected contributions from at least 80% of registered employers, as well as and associated contributions from Government and employees</w:t>
      </w:r>
      <w:r w:rsidR="006B53B4" w:rsidRPr="006B53B4">
        <w:rPr>
          <w:rFonts w:cs="Arial"/>
          <w:color w:val="000000" w:themeColor="text1"/>
        </w:rPr>
        <w:t>; and (v) Pension Agency adopted an interim Cash and Cash Equivalent Investment Policy allowing investments to be managed without any undue risk and ensuring transfer of all contribution payments into individual interest-bearing accounts. Under Subprogram II, (i) NBG and Pension Agency approve long term investment policy for Pension Savings Scheme to guide long term investment strategy of contributions; (ii) Pension Agency, in coordination with MOF, approve enforcement mechanism for pension scheme contributions to ensure increased compliance by all formal employers with the Law of Georgia on Pension Savings; and (iii) GoG submits Law on Third Pillar Pensions to Parliament to enable Georgian workers to accumulate additional voluntary savings, when possible, and generate a third source of old-age income.</w:t>
      </w:r>
    </w:p>
    <w:p w14:paraId="1C37FF5E" w14:textId="77777777" w:rsidR="006B53B4" w:rsidRPr="006B53B4" w:rsidRDefault="006B53B4" w:rsidP="006B53B4">
      <w:pPr>
        <w:pStyle w:val="ListParagraph"/>
        <w:ind w:left="0"/>
        <w:jc w:val="both"/>
        <w:rPr>
          <w:rFonts w:cs="Arial"/>
          <w:color w:val="FF0000"/>
        </w:rPr>
      </w:pPr>
    </w:p>
    <w:p w14:paraId="4F3ACF6B" w14:textId="16D28C3F" w:rsidR="006C66CD" w:rsidRPr="006C66CD" w:rsidRDefault="37ED71D6" w:rsidP="0047250D">
      <w:pPr>
        <w:pStyle w:val="ListParagraph"/>
        <w:numPr>
          <w:ilvl w:val="0"/>
          <w:numId w:val="29"/>
        </w:numPr>
        <w:ind w:left="0" w:firstLine="0"/>
        <w:jc w:val="both"/>
        <w:rPr>
          <w:color w:val="000000" w:themeColor="text1"/>
        </w:rPr>
      </w:pPr>
      <w:r w:rsidRPr="64803C5B">
        <w:rPr>
          <w:b/>
          <w:bCs/>
          <w:color w:val="000000" w:themeColor="text1"/>
        </w:rPr>
        <w:t xml:space="preserve">ADB’s value addition. </w:t>
      </w:r>
      <w:r w:rsidR="3956C942" w:rsidRPr="004D4CCA">
        <w:rPr>
          <w:color w:val="000000" w:themeColor="text1"/>
        </w:rPr>
        <w:t xml:space="preserve">The </w:t>
      </w:r>
      <w:r w:rsidR="00F206B1">
        <w:rPr>
          <w:color w:val="000000" w:themeColor="text1"/>
        </w:rPr>
        <w:t>p</w:t>
      </w:r>
      <w:r w:rsidR="002E0A8E" w:rsidRPr="004D4CCA">
        <w:rPr>
          <w:color w:val="000000" w:themeColor="text1"/>
        </w:rPr>
        <w:t>rogram</w:t>
      </w:r>
      <w:r w:rsidR="3956C942" w:rsidRPr="004D4CCA">
        <w:rPr>
          <w:color w:val="000000" w:themeColor="text1"/>
        </w:rPr>
        <w:t xml:space="preserve"> forms part of a </w:t>
      </w:r>
      <w:r w:rsidR="1F4BBEB3" w:rsidRPr="5D84ACAA">
        <w:rPr>
          <w:color w:val="000000" w:themeColor="text1"/>
        </w:rPr>
        <w:t>broader</w:t>
      </w:r>
      <w:r w:rsidR="3956C942" w:rsidRPr="00701B9C">
        <w:rPr>
          <w:color w:val="000000" w:themeColor="text1"/>
        </w:rPr>
        <w:t xml:space="preserve"> </w:t>
      </w:r>
      <w:r w:rsidR="78312034" w:rsidRPr="00701B9C">
        <w:rPr>
          <w:color w:val="000000" w:themeColor="text1"/>
        </w:rPr>
        <w:t xml:space="preserve">package of support to Georgia to address the health and socioeconomic impacts of COVID-19. </w:t>
      </w:r>
      <w:r w:rsidR="147D1A30" w:rsidRPr="00701B9C">
        <w:rPr>
          <w:color w:val="000000" w:themeColor="text1"/>
        </w:rPr>
        <w:t>It complements the CARES Program</w:t>
      </w:r>
      <w:r w:rsidR="00A34333">
        <w:rPr>
          <w:rStyle w:val="FootnoteReference"/>
          <w:color w:val="000000" w:themeColor="text1"/>
        </w:rPr>
        <w:footnoteReference w:id="47"/>
      </w:r>
      <w:r w:rsidR="147D1A30" w:rsidRPr="00126A24">
        <w:rPr>
          <w:color w:val="000000" w:themeColor="text1"/>
        </w:rPr>
        <w:t xml:space="preserve"> approved in May 2020 by supporting long term institutional reforms which also help address immediate institutional fragilities exposed by the COVID-19 crisis and pave the way for sustainable and inclusive economic re</w:t>
      </w:r>
      <w:r w:rsidR="19F8D2B1" w:rsidRPr="00A76D4F">
        <w:rPr>
          <w:color w:val="000000" w:themeColor="text1"/>
        </w:rPr>
        <w:t>c</w:t>
      </w:r>
      <w:r w:rsidR="147D1A30" w:rsidRPr="004D4CCA">
        <w:rPr>
          <w:color w:val="000000" w:themeColor="text1"/>
        </w:rPr>
        <w:t>o</w:t>
      </w:r>
      <w:r w:rsidR="19F8D2B1" w:rsidRPr="004D4CCA">
        <w:rPr>
          <w:color w:val="000000" w:themeColor="text1"/>
        </w:rPr>
        <w:t>v</w:t>
      </w:r>
      <w:r w:rsidR="147D1A30" w:rsidRPr="001F2E70">
        <w:rPr>
          <w:color w:val="000000" w:themeColor="text1"/>
        </w:rPr>
        <w:t>ery.</w:t>
      </w:r>
      <w:r w:rsidR="19F8D2B1" w:rsidRPr="00806D72">
        <w:rPr>
          <w:color w:val="000000" w:themeColor="text1"/>
        </w:rPr>
        <w:t xml:space="preserve"> </w:t>
      </w:r>
      <w:r w:rsidR="002728CE">
        <w:rPr>
          <w:color w:val="000000" w:themeColor="text1"/>
        </w:rPr>
        <w:t>The need to</w:t>
      </w:r>
      <w:r w:rsidR="004D0CF0">
        <w:rPr>
          <w:color w:val="000000" w:themeColor="text1"/>
        </w:rPr>
        <w:t xml:space="preserve"> </w:t>
      </w:r>
      <w:r w:rsidR="00DF7233">
        <w:rPr>
          <w:color w:val="000000" w:themeColor="text1"/>
        </w:rPr>
        <w:t xml:space="preserve">accelerate </w:t>
      </w:r>
      <w:r w:rsidR="008E228A">
        <w:rPr>
          <w:color w:val="000000" w:themeColor="text1"/>
        </w:rPr>
        <w:t>long</w:t>
      </w:r>
      <w:r w:rsidR="00F86C40">
        <w:rPr>
          <w:color w:val="000000" w:themeColor="text1"/>
        </w:rPr>
        <w:t>-</w:t>
      </w:r>
      <w:r w:rsidR="008E228A">
        <w:rPr>
          <w:color w:val="000000" w:themeColor="text1"/>
        </w:rPr>
        <w:t>term institutional reforms to serve immediate needs that emerged as a result of the COVID-19 crisis</w:t>
      </w:r>
      <w:r w:rsidR="684C1BB5" w:rsidRPr="5D84ACAA">
        <w:rPr>
          <w:color w:val="000000" w:themeColor="text1"/>
        </w:rPr>
        <w:t xml:space="preserve"> </w:t>
      </w:r>
      <w:r w:rsidR="275A6804" w:rsidRPr="5D84ACAA">
        <w:rPr>
          <w:color w:val="000000" w:themeColor="text1"/>
        </w:rPr>
        <w:t>justify the utilization of the fast track pr</w:t>
      </w:r>
      <w:r w:rsidR="07B3E35F" w:rsidRPr="5D84ACAA">
        <w:rPr>
          <w:color w:val="000000" w:themeColor="text1"/>
        </w:rPr>
        <w:t>ocedure.</w:t>
      </w:r>
      <w:r w:rsidR="48A82222" w:rsidRPr="5D84ACAA">
        <w:rPr>
          <w:color w:val="000000" w:themeColor="text1"/>
        </w:rPr>
        <w:t xml:space="preserve"> </w:t>
      </w:r>
      <w:r w:rsidRPr="00E7005B">
        <w:rPr>
          <w:color w:val="000000" w:themeColor="text1"/>
        </w:rPr>
        <w:t xml:space="preserve">The </w:t>
      </w:r>
      <w:r w:rsidR="006F5A96">
        <w:rPr>
          <w:color w:val="000000" w:themeColor="text1"/>
        </w:rPr>
        <w:t>p</w:t>
      </w:r>
      <w:r w:rsidR="006C031C" w:rsidRPr="0004176D">
        <w:rPr>
          <w:color w:val="000000" w:themeColor="text1"/>
        </w:rPr>
        <w:t>rogram</w:t>
      </w:r>
      <w:r w:rsidRPr="004C4123">
        <w:rPr>
          <w:color w:val="000000" w:themeColor="text1"/>
        </w:rPr>
        <w:t xml:space="preserve"> builds on more than a decade of close cooperation across key policy reform areas such as fiscal </w:t>
      </w:r>
      <w:r w:rsidR="19F8D2B1" w:rsidRPr="0032011D">
        <w:rPr>
          <w:color w:val="000000" w:themeColor="text1"/>
        </w:rPr>
        <w:t xml:space="preserve">risk </w:t>
      </w:r>
      <w:r w:rsidRPr="001E3996">
        <w:rPr>
          <w:color w:val="000000" w:themeColor="text1"/>
        </w:rPr>
        <w:t>management</w:t>
      </w:r>
      <w:r w:rsidR="2441C58A" w:rsidRPr="00DF3853">
        <w:rPr>
          <w:color w:val="000000" w:themeColor="text1"/>
        </w:rPr>
        <w:t xml:space="preserve">, </w:t>
      </w:r>
      <w:r w:rsidR="19F8D2B1" w:rsidRPr="003D7A90">
        <w:rPr>
          <w:color w:val="000000" w:themeColor="text1"/>
        </w:rPr>
        <w:t xml:space="preserve">public debt management </w:t>
      </w:r>
      <w:r w:rsidRPr="003D7A90">
        <w:rPr>
          <w:color w:val="000000" w:themeColor="text1"/>
        </w:rPr>
        <w:t>and social protection. Starting in 2014</w:t>
      </w:r>
      <w:r>
        <w:t xml:space="preserve"> </w:t>
      </w:r>
      <w:r w:rsidRPr="00701B9C">
        <w:rPr>
          <w:color w:val="000000" w:themeColor="text1"/>
        </w:rPr>
        <w:t>ADB has been continuously engaged in policy dialogue with the government regarding fiscal management and social protection reform</w:t>
      </w:r>
      <w:r w:rsidR="2CD22939" w:rsidRPr="00701B9C">
        <w:rPr>
          <w:color w:val="000000" w:themeColor="text1"/>
        </w:rPr>
        <w:t xml:space="preserve"> </w:t>
      </w:r>
      <w:r w:rsidR="2CD22939" w:rsidRPr="00701B9C">
        <w:rPr>
          <w:color w:val="000000" w:themeColor="text1"/>
        </w:rPr>
        <w:lastRenderedPageBreak/>
        <w:t xml:space="preserve">supported by technical assistance </w:t>
      </w:r>
      <w:r w:rsidR="277E0FC3" w:rsidRPr="00701B9C">
        <w:rPr>
          <w:color w:val="000000" w:themeColor="text1"/>
        </w:rPr>
        <w:t>has helped</w:t>
      </w:r>
      <w:r w:rsidRPr="00701B9C">
        <w:rPr>
          <w:color w:val="000000" w:themeColor="text1"/>
        </w:rPr>
        <w:t xml:space="preserve"> </w:t>
      </w:r>
      <w:r w:rsidR="633D7F49" w:rsidRPr="5D84ACAA">
        <w:rPr>
          <w:color w:val="000000" w:themeColor="text1"/>
        </w:rPr>
        <w:t>strengthen</w:t>
      </w:r>
      <w:r w:rsidRPr="00701B9C">
        <w:rPr>
          <w:color w:val="000000" w:themeColor="text1"/>
        </w:rPr>
        <w:t xml:space="preserve"> public </w:t>
      </w:r>
      <w:r w:rsidR="277E0FC3" w:rsidRPr="00701B9C">
        <w:rPr>
          <w:color w:val="000000" w:themeColor="text1"/>
        </w:rPr>
        <w:t>debt</w:t>
      </w:r>
      <w:r w:rsidRPr="00701B9C">
        <w:rPr>
          <w:color w:val="000000" w:themeColor="text1"/>
        </w:rPr>
        <w:t xml:space="preserve"> management and fiscal </w:t>
      </w:r>
      <w:r w:rsidR="277E0FC3" w:rsidRPr="00701B9C">
        <w:rPr>
          <w:color w:val="000000" w:themeColor="text1"/>
        </w:rPr>
        <w:t xml:space="preserve">risk management </w:t>
      </w:r>
      <w:r w:rsidRPr="00701B9C">
        <w:rPr>
          <w:color w:val="000000" w:themeColor="text1"/>
        </w:rPr>
        <w:t>while supporting government efforts to reform its public pension system</w:t>
      </w:r>
      <w:r w:rsidR="004341A3">
        <w:rPr>
          <w:rStyle w:val="FootnoteReference"/>
          <w:color w:val="000000" w:themeColor="text1"/>
        </w:rPr>
        <w:footnoteReference w:id="48"/>
      </w:r>
      <w:r w:rsidRPr="00701B9C">
        <w:rPr>
          <w:color w:val="000000" w:themeColor="text1"/>
        </w:rPr>
        <w:t>—the largest social protection program in the country.</w:t>
      </w:r>
      <w:r w:rsidR="00316410">
        <w:rPr>
          <w:rStyle w:val="FootnoteReference"/>
          <w:color w:val="000000" w:themeColor="text1"/>
        </w:rPr>
        <w:footnoteReference w:id="49"/>
      </w:r>
      <w:r w:rsidRPr="00126A24">
        <w:rPr>
          <w:color w:val="000000" w:themeColor="text1"/>
          <w:lang w:val="en-PH"/>
        </w:rPr>
        <w:t xml:space="preserve"> </w:t>
      </w:r>
      <w:r w:rsidR="00C83B75" w:rsidRPr="00803DF2">
        <w:rPr>
          <w:lang w:val="en-PH"/>
        </w:rPr>
        <w:t>The MEL Lab is an innovative solution incorporated under the CARE</w:t>
      </w:r>
      <w:r w:rsidR="00C83B75">
        <w:rPr>
          <w:lang w:val="en-PH"/>
        </w:rPr>
        <w:t>S</w:t>
      </w:r>
      <w:r w:rsidR="00C83B75" w:rsidRPr="00803DF2">
        <w:rPr>
          <w:lang w:val="en-PH"/>
        </w:rPr>
        <w:t xml:space="preserve"> Program which helped guide policy discussions around the proposed program and will keep on providing the evidence needed to guide policy discussions which will inform the final shape of policy actions under Subprogram 2. It provides ADB and the government with live data on evolution of key socioeconomic indicators, necessary to support an adequate and timely policy response to emerging needs. Through this Program, ADB also ensured mainstreaming of a pro-poor and gender sensitive policy reform environment underpinning economic recovery. ADB </w:t>
      </w:r>
      <w:r w:rsidR="00C83B75" w:rsidRPr="5D84ACAA">
        <w:rPr>
          <w:lang w:val="en-PH"/>
        </w:rPr>
        <w:t>has</w:t>
      </w:r>
      <w:r w:rsidR="00C83B75" w:rsidRPr="00803DF2">
        <w:rPr>
          <w:lang w:val="en-PH"/>
        </w:rPr>
        <w:t xml:space="preserve"> maintained a clear position with regards to gender and poverty alleviation with government in these discussions and will continue to do so moving forward. ADB’s financial support will help government bridge its financing gap for 2020 at less onerous terms that would otherwise be available to the government, contributing towards debt sustainability in the long run.</w:t>
      </w:r>
      <w:r w:rsidR="00C83B75" w:rsidRPr="00126A24">
        <w:t xml:space="preserve"> The financing support provide</w:t>
      </w:r>
      <w:r w:rsidR="00C83B75" w:rsidRPr="00A76D4F">
        <w:t xml:space="preserve">d under the </w:t>
      </w:r>
      <w:r w:rsidR="00C83B75">
        <w:t>p</w:t>
      </w:r>
      <w:r w:rsidR="00C83B75" w:rsidRPr="00A76D4F">
        <w:t xml:space="preserve">rogram is complemented with other ADB Sector Development Loans and </w:t>
      </w:r>
      <w:r w:rsidR="00C83B75">
        <w:t>policy-based loans</w:t>
      </w:r>
      <w:r w:rsidR="00C83B75" w:rsidRPr="00A76D4F">
        <w:t xml:space="preserve"> which in total contribute towards roughly 30% of Georgia’s financing needs for 2020</w:t>
      </w:r>
      <w:r w:rsidR="00C83B75" w:rsidRPr="00126A24">
        <w:t>. Finally, and to complement ADB’s support to Georgia’s inclusive economic recovery a</w:t>
      </w:r>
      <w:r w:rsidR="00C83B75" w:rsidRPr="00A76D4F">
        <w:t xml:space="preserve">genda, </w:t>
      </w:r>
      <w:r w:rsidR="00C83B75" w:rsidRPr="004D4CCA">
        <w:rPr>
          <w:color w:val="000000" w:themeColor="text1"/>
        </w:rPr>
        <w:t>ADB is als</w:t>
      </w:r>
      <w:r w:rsidR="0082763F">
        <w:rPr>
          <w:color w:val="000000" w:themeColor="text1"/>
        </w:rPr>
        <w:t xml:space="preserve"> </w:t>
      </w:r>
      <w:r w:rsidR="00C83B75" w:rsidRPr="004D4CCA">
        <w:rPr>
          <w:color w:val="000000" w:themeColor="text1"/>
        </w:rPr>
        <w:t xml:space="preserve">o </w:t>
      </w:r>
      <w:r w:rsidR="00C83B75" w:rsidRPr="001F2E70">
        <w:rPr>
          <w:color w:val="000000" w:themeColor="text1"/>
        </w:rPr>
        <w:t>providing grant</w:t>
      </w:r>
      <w:r w:rsidR="00C83B75">
        <w:rPr>
          <w:color w:val="000000" w:themeColor="text1"/>
        </w:rPr>
        <w:t>.</w:t>
      </w:r>
      <w:r w:rsidR="00C83B75">
        <w:rPr>
          <w:rStyle w:val="FootnoteReference"/>
          <w:color w:val="000000" w:themeColor="text1"/>
        </w:rPr>
        <w:footnoteReference w:id="50"/>
      </w:r>
    </w:p>
    <w:p w14:paraId="4F9EF3E0" w14:textId="77777777" w:rsidR="006C66CD" w:rsidRPr="006C66CD" w:rsidRDefault="006C66CD" w:rsidP="006C66CD">
      <w:pPr>
        <w:pStyle w:val="ListParagraph"/>
        <w:ind w:left="0"/>
        <w:jc w:val="both"/>
        <w:rPr>
          <w:color w:val="000000" w:themeColor="text1"/>
        </w:rPr>
      </w:pPr>
    </w:p>
    <w:p w14:paraId="44E6A858" w14:textId="4B52D868" w:rsidR="001E7F56" w:rsidRDefault="006C66CD" w:rsidP="0047250D">
      <w:pPr>
        <w:pStyle w:val="ListParagraph"/>
        <w:numPr>
          <w:ilvl w:val="0"/>
          <w:numId w:val="29"/>
        </w:numPr>
        <w:ind w:left="0" w:firstLine="0"/>
        <w:jc w:val="both"/>
        <w:rPr>
          <w:color w:val="000000" w:themeColor="text1"/>
        </w:rPr>
      </w:pPr>
      <w:r w:rsidRPr="006C66CD">
        <w:rPr>
          <w:b/>
          <w:bCs/>
          <w:lang w:val="en-PH"/>
        </w:rPr>
        <w:t>Lessons learnt.</w:t>
      </w:r>
      <w:r>
        <w:rPr>
          <w:lang w:val="en-PH"/>
        </w:rPr>
        <w:t xml:space="preserve"> </w:t>
      </w:r>
      <w:r w:rsidR="0E10A91C" w:rsidRPr="00803DF2">
        <w:rPr>
          <w:lang w:val="en-PH"/>
        </w:rPr>
        <w:t xml:space="preserve">Underpinned by a strong </w:t>
      </w:r>
      <w:r w:rsidR="12BAD4DC" w:rsidRPr="00803DF2">
        <w:rPr>
          <w:lang w:val="en-PH"/>
        </w:rPr>
        <w:t xml:space="preserve">base of country knowledge, the </w:t>
      </w:r>
      <w:r w:rsidR="003D3DBF">
        <w:rPr>
          <w:lang w:val="en-PH"/>
        </w:rPr>
        <w:t>p</w:t>
      </w:r>
      <w:r w:rsidR="001719CF" w:rsidRPr="00803DF2">
        <w:rPr>
          <w:lang w:val="en-PH"/>
        </w:rPr>
        <w:t>rogram</w:t>
      </w:r>
      <w:r w:rsidR="12BAD4DC" w:rsidRPr="00803DF2">
        <w:rPr>
          <w:lang w:val="en-PH"/>
        </w:rPr>
        <w:t xml:space="preserve"> is also informed by lessons learnt through previous policy-based program support provided to Georgia.</w:t>
      </w:r>
      <w:r w:rsidR="00861023">
        <w:rPr>
          <w:rStyle w:val="FootnoteReference"/>
          <w:lang w:val="en-PH"/>
        </w:rPr>
        <w:footnoteReference w:id="51"/>
      </w:r>
      <w:r w:rsidR="54179A22" w:rsidRPr="5D84ACAA">
        <w:rPr>
          <w:lang w:val="en-PH"/>
        </w:rPr>
        <w:t xml:space="preserve"> </w:t>
      </w:r>
      <w:r w:rsidR="6A4B8F5F" w:rsidRPr="5D84ACAA">
        <w:rPr>
          <w:lang w:val="en-PH"/>
        </w:rPr>
        <w:t>Most importantly</w:t>
      </w:r>
      <w:r w:rsidR="54179A22" w:rsidRPr="5D84ACAA">
        <w:rPr>
          <w:lang w:val="en-PH"/>
        </w:rPr>
        <w:t xml:space="preserve">, </w:t>
      </w:r>
      <w:r w:rsidR="6A4B8F5F" w:rsidRPr="5D84ACAA">
        <w:rPr>
          <w:lang w:val="en-PH"/>
        </w:rPr>
        <w:t xml:space="preserve">ADB’s </w:t>
      </w:r>
      <w:r w:rsidR="6386C020" w:rsidRPr="5D84ACAA">
        <w:rPr>
          <w:lang w:val="en-PH"/>
        </w:rPr>
        <w:t>previous</w:t>
      </w:r>
      <w:r w:rsidR="6A4B8F5F" w:rsidRPr="5D84ACAA">
        <w:rPr>
          <w:lang w:val="en-PH"/>
        </w:rPr>
        <w:t xml:space="preserve"> engagement in</w:t>
      </w:r>
      <w:r w:rsidR="6386C020" w:rsidRPr="5D84ACAA">
        <w:rPr>
          <w:lang w:val="en-PH"/>
        </w:rPr>
        <w:t xml:space="preserve"> </w:t>
      </w:r>
      <w:r w:rsidR="6A4B8F5F" w:rsidRPr="5D84ACAA">
        <w:rPr>
          <w:lang w:val="en-PH"/>
        </w:rPr>
        <w:t>structural and politically sensitive policy reform programs in Georgia such as reform to the pension system</w:t>
      </w:r>
      <w:r w:rsidR="11ED8CDA" w:rsidRPr="5D84ACAA">
        <w:rPr>
          <w:lang w:val="en-PH"/>
        </w:rPr>
        <w:t xml:space="preserve"> and domestic debt market development</w:t>
      </w:r>
      <w:r w:rsidR="2E2F2F2B" w:rsidRPr="5D84ACAA">
        <w:rPr>
          <w:lang w:val="en-PH"/>
        </w:rPr>
        <w:t xml:space="preserve">, </w:t>
      </w:r>
      <w:r w:rsidR="2536D3A6" w:rsidRPr="5D84ACAA">
        <w:rPr>
          <w:lang w:val="en-PH"/>
        </w:rPr>
        <w:t>highlighted the importance of flexibility</w:t>
      </w:r>
      <w:r w:rsidR="11ED8CDA" w:rsidRPr="5D84ACAA">
        <w:rPr>
          <w:lang w:val="en-PH"/>
        </w:rPr>
        <w:t xml:space="preserve"> and</w:t>
      </w:r>
      <w:r w:rsidR="4EE9B9AA" w:rsidRPr="5D84ACAA">
        <w:rPr>
          <w:lang w:val="en-PH"/>
        </w:rPr>
        <w:t xml:space="preserve"> sequencing</w:t>
      </w:r>
      <w:r w:rsidR="2536D3A6" w:rsidRPr="5D84ACAA">
        <w:rPr>
          <w:lang w:val="en-PH"/>
        </w:rPr>
        <w:t xml:space="preserve"> </w:t>
      </w:r>
      <w:r w:rsidR="54179A22" w:rsidRPr="5D84ACAA">
        <w:rPr>
          <w:lang w:val="en-PH"/>
        </w:rPr>
        <w:t>to manage bottlenecks.</w:t>
      </w:r>
      <w:r w:rsidR="0038271B">
        <w:rPr>
          <w:rStyle w:val="FootnoteReference"/>
          <w:lang w:val="en-PH"/>
        </w:rPr>
        <w:footnoteReference w:id="52"/>
      </w:r>
      <w:r w:rsidR="54179A22" w:rsidRPr="5D84ACAA">
        <w:rPr>
          <w:lang w:val="en-PH"/>
        </w:rPr>
        <w:t xml:space="preserve"> </w:t>
      </w:r>
      <w:r w:rsidR="07D54726" w:rsidRPr="5D84ACAA">
        <w:rPr>
          <w:lang w:val="en-PH"/>
        </w:rPr>
        <w:t>The choice of a</w:t>
      </w:r>
      <w:r w:rsidR="54179A22" w:rsidRPr="5D84ACAA">
        <w:rPr>
          <w:lang w:val="en-PH"/>
        </w:rPr>
        <w:t xml:space="preserve"> programmatic approach for policy-based </w:t>
      </w:r>
      <w:r w:rsidR="55017C18" w:rsidRPr="5D84ACAA">
        <w:rPr>
          <w:lang w:val="en-PH"/>
        </w:rPr>
        <w:t>lending,</w:t>
      </w:r>
      <w:r w:rsidR="54179A22" w:rsidRPr="5D84ACAA">
        <w:rPr>
          <w:lang w:val="en-PH"/>
        </w:rPr>
        <w:t xml:space="preserve"> combined with TA</w:t>
      </w:r>
      <w:r w:rsidR="55017C18" w:rsidRPr="5D84ACAA">
        <w:rPr>
          <w:lang w:val="en-PH"/>
        </w:rPr>
        <w:t>,</w:t>
      </w:r>
      <w:r w:rsidR="54179A22" w:rsidRPr="5D84ACAA">
        <w:rPr>
          <w:lang w:val="en-PH"/>
        </w:rPr>
        <w:t xml:space="preserve"> </w:t>
      </w:r>
      <w:r w:rsidR="07D54726" w:rsidRPr="5D84ACAA">
        <w:rPr>
          <w:lang w:val="en-PH"/>
        </w:rPr>
        <w:t>was deemed</w:t>
      </w:r>
      <w:r w:rsidR="54179A22" w:rsidRPr="5D84ACAA">
        <w:rPr>
          <w:lang w:val="en-PH"/>
        </w:rPr>
        <w:t xml:space="preserve"> a suitable modality to </w:t>
      </w:r>
      <w:r w:rsidR="07D54726" w:rsidRPr="5D84ACAA">
        <w:rPr>
          <w:lang w:val="en-PH"/>
        </w:rPr>
        <w:t xml:space="preserve">overcome potential challenges by ensuring flexibility </w:t>
      </w:r>
      <w:r w:rsidR="404F47CD" w:rsidRPr="5D84ACAA">
        <w:rPr>
          <w:lang w:val="en-PH"/>
        </w:rPr>
        <w:t>and allowing for adequate sequencing of reforms across the subprograms</w:t>
      </w:r>
      <w:r w:rsidR="54179A22" w:rsidRPr="5D84ACAA">
        <w:rPr>
          <w:lang w:val="en-PH"/>
        </w:rPr>
        <w:t xml:space="preserve">. </w:t>
      </w:r>
    </w:p>
    <w:p w14:paraId="0BC8877F" w14:textId="77777777" w:rsidR="00971652" w:rsidRPr="00971652" w:rsidRDefault="00971652" w:rsidP="00971652">
      <w:pPr>
        <w:pStyle w:val="ListParagraph"/>
        <w:ind w:left="0"/>
        <w:jc w:val="both"/>
        <w:rPr>
          <w:color w:val="000000" w:themeColor="text1"/>
        </w:rPr>
      </w:pPr>
    </w:p>
    <w:p w14:paraId="206314F0" w14:textId="56ADB9DF" w:rsidR="00B97749" w:rsidRDefault="733889CB" w:rsidP="00926036">
      <w:pPr>
        <w:pStyle w:val="ListParagraph"/>
        <w:numPr>
          <w:ilvl w:val="0"/>
          <w:numId w:val="29"/>
        </w:numPr>
        <w:ind w:left="0" w:firstLine="0"/>
        <w:jc w:val="both"/>
        <w:rPr>
          <w:color w:val="000000" w:themeColor="text1"/>
        </w:rPr>
      </w:pPr>
      <w:r w:rsidRPr="00926036">
        <w:rPr>
          <w:b/>
          <w:color w:val="000000" w:themeColor="text1"/>
        </w:rPr>
        <w:t>Alignment</w:t>
      </w:r>
      <w:r w:rsidRPr="001E7F56">
        <w:rPr>
          <w:rFonts w:cs="Arial"/>
          <w:b/>
          <w:bCs/>
          <w:color w:val="000000" w:themeColor="text1"/>
        </w:rPr>
        <w:t xml:space="preserve"> with Strategy 2030. </w:t>
      </w:r>
      <w:r w:rsidRPr="001E7F56">
        <w:rPr>
          <w:rFonts w:cs="Arial"/>
          <w:color w:val="000000" w:themeColor="text1"/>
        </w:rPr>
        <w:t xml:space="preserve">The Program is fully aligned with ADB’s Strategy 2030, specifically the operational priorities on addressing poverty and reducing inequality (through its support for social </w:t>
      </w:r>
      <w:r w:rsidR="3E06AEB8" w:rsidRPr="001E7F56">
        <w:rPr>
          <w:rFonts w:cs="Arial"/>
          <w:color w:val="000000" w:themeColor="text1"/>
        </w:rPr>
        <w:t>protection</w:t>
      </w:r>
      <w:r w:rsidRPr="001E7F56">
        <w:rPr>
          <w:rFonts w:cs="Arial"/>
          <w:color w:val="000000" w:themeColor="text1"/>
        </w:rPr>
        <w:t xml:space="preserve"> expected </w:t>
      </w:r>
      <w:r w:rsidR="3E06AEB8" w:rsidRPr="001E7F56">
        <w:rPr>
          <w:rFonts w:cs="Arial"/>
          <w:color w:val="000000" w:themeColor="text1"/>
        </w:rPr>
        <w:t xml:space="preserve">to mitigate an </w:t>
      </w:r>
      <w:r w:rsidRPr="001E7F56">
        <w:rPr>
          <w:rFonts w:cs="Arial"/>
          <w:color w:val="000000" w:themeColor="text1"/>
        </w:rPr>
        <w:t>increase in poverty incidence), accelerating progress in gender equality (through gender sensitive targets</w:t>
      </w:r>
      <w:r w:rsidR="3E06AEB8" w:rsidRPr="001E7F56">
        <w:rPr>
          <w:rFonts w:cs="Arial"/>
          <w:color w:val="000000" w:themeColor="text1"/>
        </w:rPr>
        <w:t xml:space="preserve"> integrated into the policy actions</w:t>
      </w:r>
      <w:r w:rsidRPr="001E7F56">
        <w:rPr>
          <w:rFonts w:cs="Arial"/>
          <w:color w:val="000000" w:themeColor="text1"/>
        </w:rPr>
        <w:t>),</w:t>
      </w:r>
      <w:r w:rsidRPr="5D84ACAA">
        <w:rPr>
          <w:rFonts w:cs="Arial"/>
          <w:color w:val="000000" w:themeColor="text1"/>
        </w:rPr>
        <w:t xml:space="preserve"> </w:t>
      </w:r>
      <w:r w:rsidRPr="001E7F56">
        <w:rPr>
          <w:rFonts w:cs="Arial"/>
          <w:color w:val="000000" w:themeColor="text1"/>
        </w:rPr>
        <w:t>and strengthening governance and institutional capacity (through support public debt management and fiscal risk management functions).</w:t>
      </w:r>
      <w:r w:rsidR="00B03B1E">
        <w:rPr>
          <w:rStyle w:val="FootnoteReference"/>
          <w:color w:val="000000" w:themeColor="text1"/>
        </w:rPr>
        <w:footnoteReference w:id="53"/>
      </w:r>
      <w:r w:rsidR="0171BFB7" w:rsidRPr="5D84ACAA">
        <w:rPr>
          <w:rFonts w:eastAsiaTheme="minorEastAsia"/>
          <w:b/>
          <w:bCs/>
        </w:rPr>
        <w:t xml:space="preserve"> </w:t>
      </w:r>
    </w:p>
    <w:p w14:paraId="3EACB2FA" w14:textId="77777777" w:rsidR="00E97B69" w:rsidRPr="001E7F56" w:rsidRDefault="00E97B69" w:rsidP="00C622EC">
      <w:pPr>
        <w:pStyle w:val="ListParagraph"/>
        <w:ind w:left="0"/>
        <w:jc w:val="both"/>
        <w:rPr>
          <w:rFonts w:cs="Arial"/>
          <w:color w:val="FF0000"/>
        </w:rPr>
      </w:pPr>
    </w:p>
    <w:p w14:paraId="3435B42D" w14:textId="77777777" w:rsidR="00415111" w:rsidRPr="00965740" w:rsidRDefault="00415111" w:rsidP="00415111">
      <w:pPr>
        <w:pStyle w:val="Heading2"/>
        <w:ind w:left="0" w:firstLine="0"/>
        <w:jc w:val="left"/>
        <w:rPr>
          <w:bCs/>
          <w:lang w:eastAsia="zh-CN"/>
        </w:rPr>
      </w:pPr>
      <w:bookmarkStart w:id="9" w:name="_Toc49870246"/>
      <w:r w:rsidRPr="00C439FE">
        <w:rPr>
          <w:bCs/>
          <w:lang w:eastAsia="zh-CN"/>
        </w:rPr>
        <w:t>Impacts of the Reform</w:t>
      </w:r>
      <w:bookmarkEnd w:id="9"/>
    </w:p>
    <w:p w14:paraId="0B4E00FC" w14:textId="77777777" w:rsidR="00415111" w:rsidRDefault="00415111" w:rsidP="00415111">
      <w:pPr>
        <w:rPr>
          <w:lang w:eastAsia="zh-CN"/>
        </w:rPr>
      </w:pPr>
    </w:p>
    <w:p w14:paraId="4A8886D5" w14:textId="4170DCC0" w:rsidR="00415111" w:rsidRPr="00284F1C" w:rsidRDefault="0D51FC96" w:rsidP="00F72DD0">
      <w:pPr>
        <w:pStyle w:val="ListParagraph"/>
        <w:widowControl w:val="0"/>
        <w:numPr>
          <w:ilvl w:val="0"/>
          <w:numId w:val="29"/>
        </w:numPr>
        <w:ind w:left="0" w:firstLine="0"/>
        <w:jc w:val="both"/>
        <w:rPr>
          <w:rFonts w:cs="Arial"/>
          <w:color w:val="FF0000"/>
        </w:rPr>
      </w:pPr>
      <w:r w:rsidRPr="5D84ACAA">
        <w:rPr>
          <w:lang w:eastAsia="zh-CN"/>
        </w:rPr>
        <w:t xml:space="preserve">The country’s </w:t>
      </w:r>
      <w:r w:rsidR="53779F61" w:rsidRPr="5D84ACAA">
        <w:rPr>
          <w:lang w:eastAsia="zh-CN"/>
        </w:rPr>
        <w:t>overarching</w:t>
      </w:r>
      <w:r w:rsidRPr="5D84ACAA">
        <w:rPr>
          <w:lang w:eastAsia="zh-CN"/>
        </w:rPr>
        <w:t xml:space="preserve"> development objective is sustained and inclusive growth based on macroeconomic stability</w:t>
      </w:r>
      <w:r w:rsidR="00D156D7">
        <w:rPr>
          <w:lang w:eastAsia="zh-CN"/>
        </w:rPr>
        <w:t xml:space="preserve"> as enshrined in the </w:t>
      </w:r>
      <w:r w:rsidR="00B11B06">
        <w:rPr>
          <w:lang w:eastAsia="zh-CN"/>
        </w:rPr>
        <w:t xml:space="preserve">government’s socio-economic development strategy </w:t>
      </w:r>
      <w:r w:rsidR="00D156D7">
        <w:rPr>
          <w:lang w:eastAsia="zh-CN"/>
        </w:rPr>
        <w:t>“Georgia 2020”</w:t>
      </w:r>
      <w:r w:rsidR="43A3D100" w:rsidRPr="5D84ACAA">
        <w:rPr>
          <w:lang w:eastAsia="zh-CN"/>
        </w:rPr>
        <w:t>.</w:t>
      </w:r>
      <w:r w:rsidR="00D156D7">
        <w:rPr>
          <w:rStyle w:val="FootnoteReference"/>
          <w:lang w:eastAsia="zh-CN"/>
        </w:rPr>
        <w:footnoteReference w:id="54"/>
      </w:r>
      <w:r>
        <w:t xml:space="preserve"> </w:t>
      </w:r>
      <w:r w:rsidRPr="5D84ACAA">
        <w:rPr>
          <w:lang w:eastAsia="zh-CN"/>
        </w:rPr>
        <w:t xml:space="preserve">The effect of the reforms supported under the program will be the return to sustainable and inclusive economic growth, </w:t>
      </w:r>
      <w:r w:rsidR="00167DE2">
        <w:rPr>
          <w:lang w:eastAsia="zh-CN"/>
        </w:rPr>
        <w:t>minimizing</w:t>
      </w:r>
      <w:r w:rsidR="345B8A8C" w:rsidRPr="5D84ACAA">
        <w:rPr>
          <w:lang w:eastAsia="zh-CN"/>
        </w:rPr>
        <w:t xml:space="preserve"> exposure </w:t>
      </w:r>
      <w:r w:rsidR="29A1ED11" w:rsidRPr="5D84ACAA">
        <w:rPr>
          <w:lang w:eastAsia="zh-CN"/>
        </w:rPr>
        <w:t>of Georgia’s fiscal position to</w:t>
      </w:r>
      <w:r w:rsidR="345B8A8C" w:rsidRPr="5D84ACAA">
        <w:rPr>
          <w:lang w:eastAsia="zh-CN"/>
        </w:rPr>
        <w:t xml:space="preserve"> shocks caused by the</w:t>
      </w:r>
      <w:r w:rsidRPr="5D84ACAA">
        <w:rPr>
          <w:lang w:eastAsia="zh-CN"/>
        </w:rPr>
        <w:t xml:space="preserve"> COVID-19</w:t>
      </w:r>
      <w:r w:rsidR="345B8A8C" w:rsidRPr="5D84ACAA">
        <w:rPr>
          <w:lang w:eastAsia="zh-CN"/>
        </w:rPr>
        <w:t xml:space="preserve"> whilst </w:t>
      </w:r>
      <w:r w:rsidR="29A1ED11" w:rsidRPr="5D84ACAA">
        <w:rPr>
          <w:lang w:eastAsia="zh-CN"/>
        </w:rPr>
        <w:t>safeguarding</w:t>
      </w:r>
      <w:r w:rsidRPr="5D84ACAA">
        <w:rPr>
          <w:lang w:eastAsia="zh-CN"/>
        </w:rPr>
        <w:t xml:space="preserve"> welfare of the most vulnerable </w:t>
      </w:r>
      <w:r w:rsidRPr="5D84ACAA">
        <w:rPr>
          <w:lang w:eastAsia="zh-CN"/>
        </w:rPr>
        <w:lastRenderedPageBreak/>
        <w:t>members of society. These reforms will primarily work through three transmission channels</w:t>
      </w:r>
      <w:r w:rsidR="00054599">
        <w:rPr>
          <w:lang w:eastAsia="zh-CN"/>
        </w:rPr>
        <w:t xml:space="preserve"> which are reflected in the Public Financial Management Reform Strategy</w:t>
      </w:r>
      <w:r w:rsidR="001E1F0A">
        <w:rPr>
          <w:rStyle w:val="FootnoteReference"/>
          <w:lang w:eastAsia="zh-CN"/>
        </w:rPr>
        <w:footnoteReference w:id="55"/>
      </w:r>
      <w:r w:rsidRPr="5D84ACAA">
        <w:rPr>
          <w:lang w:eastAsia="zh-CN"/>
        </w:rPr>
        <w:t xml:space="preserve">: (i) the improved management of public exposure to fiscal risks (stemming from PPPs, PPAs, SOEs and natural disasters); (ii) improved debt sustainability through deeper domestic markets for government debt; (iii) adequacy and fiscal sustainability of social protection programs. </w:t>
      </w:r>
      <w:bookmarkStart w:id="10" w:name="_Hlk50214685"/>
      <w:bookmarkEnd w:id="10"/>
    </w:p>
    <w:p w14:paraId="45E2B72F" w14:textId="5CE3117C" w:rsidR="00315CD0" w:rsidRPr="00E97B69" w:rsidRDefault="00315CD0">
      <w:pPr>
        <w:pStyle w:val="ListParagraph"/>
        <w:ind w:left="0"/>
        <w:jc w:val="both"/>
        <w:rPr>
          <w:rFonts w:cs="Arial"/>
          <w:color w:val="000000" w:themeColor="text1"/>
        </w:rPr>
      </w:pPr>
    </w:p>
    <w:p w14:paraId="4A3BEEEE" w14:textId="095ABAB1" w:rsidR="001E7F56" w:rsidRPr="001E7F56" w:rsidRDefault="00B77824" w:rsidP="008F7BA7">
      <w:pPr>
        <w:pStyle w:val="Heading2"/>
        <w:spacing w:after="240"/>
        <w:ind w:left="0" w:firstLine="0"/>
      </w:pPr>
      <w:bookmarkStart w:id="11" w:name="_Toc49870247"/>
      <w:r>
        <w:rPr>
          <w:rFonts w:cs="Arial"/>
          <w:bCs/>
        </w:rPr>
        <w:t>Development Financing Needs</w:t>
      </w:r>
      <w:bookmarkStart w:id="12" w:name="_Toc49870248"/>
      <w:bookmarkEnd w:id="11"/>
      <w:bookmarkEnd w:id="12"/>
      <w:r w:rsidR="00DA5ACD">
        <w:rPr>
          <w:rFonts w:cs="Arial"/>
          <w:bCs/>
        </w:rPr>
        <w:t xml:space="preserve"> and Development Partner Coordination</w:t>
      </w:r>
    </w:p>
    <w:p w14:paraId="7BA9AC83" w14:textId="2D77DE58" w:rsidR="00284F1C" w:rsidRPr="00284F1C" w:rsidRDefault="0171BFB7" w:rsidP="00284F1C">
      <w:pPr>
        <w:pStyle w:val="ListParagraph"/>
        <w:numPr>
          <w:ilvl w:val="0"/>
          <w:numId w:val="29"/>
        </w:numPr>
        <w:ind w:left="0" w:firstLine="0"/>
        <w:jc w:val="both"/>
        <w:rPr>
          <w:rFonts w:cs="Arial"/>
          <w:color w:val="FF0000"/>
        </w:rPr>
      </w:pPr>
      <w:r w:rsidRPr="5D84ACAA">
        <w:rPr>
          <w:rFonts w:eastAsiaTheme="minorEastAsia"/>
          <w:b/>
          <w:bCs/>
        </w:rPr>
        <w:t>Development financing needs for 2020</w:t>
      </w:r>
      <w:r w:rsidRPr="5D84ACAA">
        <w:rPr>
          <w:rFonts w:eastAsiaTheme="minorEastAsia"/>
        </w:rPr>
        <w:t>. Despite the government’s efforts to reprioritize expenditure and create additional fiscal space, the financing gap for fiscal year 2020 remains considerably high at $1,613 million. The financing gap is to be close</w:t>
      </w:r>
      <w:r w:rsidR="00BD0D63">
        <w:rPr>
          <w:rFonts w:eastAsiaTheme="minorEastAsia"/>
        </w:rPr>
        <w:t>d</w:t>
      </w:r>
      <w:r w:rsidRPr="5D84ACAA">
        <w:rPr>
          <w:rFonts w:eastAsiaTheme="minorEastAsia"/>
        </w:rPr>
        <w:t xml:space="preserve"> primarily through by loans and grants from development partners as well as domestic borrowing, with government deposits available to weather against downside risks, if necessary. The IMF, World Bank, the Asian Infrastructure Investment Bank and selected bilateral partners have committed to assist Georgia in accessing finance</w:t>
      </w:r>
      <w:r w:rsidR="00D80D5C">
        <w:rPr>
          <w:rFonts w:eastAsiaTheme="minorEastAsia"/>
        </w:rPr>
        <w:t xml:space="preserve"> (Table 2)</w:t>
      </w:r>
      <w:r w:rsidRPr="5D84ACAA">
        <w:rPr>
          <w:rFonts w:eastAsiaTheme="minorEastAsia"/>
        </w:rPr>
        <w:t xml:space="preserve">. Total ADB budget support in 2020 will tentatively amount to $530 million, or 30% of the total financing gap. </w:t>
      </w:r>
    </w:p>
    <w:p w14:paraId="367269BE" w14:textId="0DC27E3C" w:rsidR="00BB5D17" w:rsidRDefault="00BB5D17" w:rsidP="00284F1C">
      <w:pPr>
        <w:pStyle w:val="ListParagraph"/>
        <w:ind w:left="0"/>
        <w:jc w:val="both"/>
        <w:rPr>
          <w:rFonts w:eastAsiaTheme="minorEastAsia"/>
          <w:b/>
        </w:rPr>
      </w:pPr>
    </w:p>
    <w:p w14:paraId="75F0E386" w14:textId="745D2335" w:rsidR="00F26EE3" w:rsidRDefault="00F26EE3" w:rsidP="001B40B6">
      <w:pPr>
        <w:pStyle w:val="Caption"/>
        <w:keepNext/>
        <w:spacing w:after="0"/>
        <w:jc w:val="center"/>
        <w:rPr>
          <w:rFonts w:ascii="Arial" w:hAnsi="Arial" w:cs="Arial"/>
          <w:b/>
          <w:bCs/>
          <w:i w:val="0"/>
          <w:iCs w:val="0"/>
          <w:color w:val="auto"/>
          <w:sz w:val="22"/>
          <w:szCs w:val="22"/>
        </w:rPr>
      </w:pPr>
      <w:r w:rsidRPr="001B40B6">
        <w:rPr>
          <w:rFonts w:ascii="Arial" w:hAnsi="Arial" w:cs="Arial"/>
          <w:b/>
          <w:bCs/>
          <w:i w:val="0"/>
          <w:iCs w:val="0"/>
          <w:color w:val="auto"/>
          <w:sz w:val="22"/>
          <w:szCs w:val="22"/>
        </w:rPr>
        <w:t xml:space="preserve">Table </w:t>
      </w:r>
      <w:r w:rsidRPr="001B40B6">
        <w:rPr>
          <w:rFonts w:ascii="Arial" w:hAnsi="Arial" w:cs="Arial"/>
          <w:b/>
          <w:bCs/>
          <w:i w:val="0"/>
          <w:iCs w:val="0"/>
          <w:color w:val="auto"/>
          <w:sz w:val="22"/>
          <w:szCs w:val="22"/>
        </w:rPr>
        <w:fldChar w:fldCharType="begin"/>
      </w:r>
      <w:r w:rsidRPr="001B40B6">
        <w:rPr>
          <w:rFonts w:ascii="Arial" w:hAnsi="Arial" w:cs="Arial"/>
          <w:b/>
          <w:bCs/>
          <w:i w:val="0"/>
          <w:iCs w:val="0"/>
          <w:color w:val="auto"/>
          <w:sz w:val="22"/>
          <w:szCs w:val="22"/>
        </w:rPr>
        <w:instrText xml:space="preserve"> SEQ Table \* ARABIC </w:instrText>
      </w:r>
      <w:r w:rsidRPr="001B40B6">
        <w:rPr>
          <w:rFonts w:ascii="Arial" w:hAnsi="Arial" w:cs="Arial"/>
          <w:b/>
          <w:bCs/>
          <w:i w:val="0"/>
          <w:iCs w:val="0"/>
          <w:color w:val="auto"/>
          <w:sz w:val="22"/>
          <w:szCs w:val="22"/>
        </w:rPr>
        <w:fldChar w:fldCharType="separate"/>
      </w:r>
      <w:r w:rsidR="00CC36E4">
        <w:rPr>
          <w:rFonts w:ascii="Arial" w:hAnsi="Arial" w:cs="Arial"/>
          <w:b/>
          <w:bCs/>
          <w:i w:val="0"/>
          <w:iCs w:val="0"/>
          <w:noProof/>
          <w:color w:val="auto"/>
          <w:sz w:val="22"/>
          <w:szCs w:val="22"/>
        </w:rPr>
        <w:t>2</w:t>
      </w:r>
      <w:r w:rsidRPr="001B40B6">
        <w:rPr>
          <w:rFonts w:ascii="Arial" w:hAnsi="Arial" w:cs="Arial"/>
          <w:b/>
          <w:bCs/>
          <w:i w:val="0"/>
          <w:iCs w:val="0"/>
          <w:color w:val="auto"/>
          <w:sz w:val="22"/>
          <w:szCs w:val="22"/>
        </w:rPr>
        <w:fldChar w:fldCharType="end"/>
      </w:r>
      <w:r w:rsidRPr="001B40B6">
        <w:rPr>
          <w:rFonts w:ascii="Arial" w:hAnsi="Arial" w:cs="Arial"/>
          <w:b/>
          <w:bCs/>
          <w:i w:val="0"/>
          <w:iCs w:val="0"/>
          <w:color w:val="auto"/>
          <w:sz w:val="22"/>
          <w:szCs w:val="22"/>
        </w:rPr>
        <w:t>: Development Financing Needs and Budget Support (</w:t>
      </w:r>
      <w:r w:rsidR="00181801">
        <w:rPr>
          <w:rFonts w:ascii="Arial" w:hAnsi="Arial" w:cs="Arial"/>
          <w:b/>
          <w:bCs/>
          <w:i w:val="0"/>
          <w:iCs w:val="0"/>
          <w:color w:val="auto"/>
          <w:sz w:val="22"/>
          <w:szCs w:val="22"/>
        </w:rPr>
        <w:t>GEL</w:t>
      </w:r>
      <w:r w:rsidRPr="001B40B6">
        <w:rPr>
          <w:rFonts w:ascii="Arial" w:hAnsi="Arial" w:cs="Arial"/>
          <w:b/>
          <w:bCs/>
          <w:i w:val="0"/>
          <w:iCs w:val="0"/>
          <w:color w:val="auto"/>
          <w:sz w:val="22"/>
          <w:szCs w:val="22"/>
        </w:rPr>
        <w:t xml:space="preserve"> million)</w:t>
      </w:r>
    </w:p>
    <w:tbl>
      <w:tblPr>
        <w:tblStyle w:val="TableGrid"/>
        <w:tblW w:w="9355" w:type="dxa"/>
        <w:tblLook w:val="04A0" w:firstRow="1" w:lastRow="0" w:firstColumn="1" w:lastColumn="0" w:noHBand="0" w:noVBand="1"/>
      </w:tblPr>
      <w:tblGrid>
        <w:gridCol w:w="4770"/>
        <w:gridCol w:w="1170"/>
        <w:gridCol w:w="1170"/>
        <w:gridCol w:w="1080"/>
        <w:gridCol w:w="1165"/>
      </w:tblGrid>
      <w:tr w:rsidR="00665293" w14:paraId="2C0FBF36" w14:textId="77777777" w:rsidTr="00181801">
        <w:trPr>
          <w:tblHeader/>
        </w:trPr>
        <w:tc>
          <w:tcPr>
            <w:tcW w:w="4770" w:type="dxa"/>
            <w:tcBorders>
              <w:top w:val="single" w:sz="4" w:space="0" w:color="auto"/>
              <w:left w:val="nil"/>
              <w:bottom w:val="single" w:sz="4" w:space="0" w:color="auto"/>
              <w:right w:val="nil"/>
            </w:tcBorders>
          </w:tcPr>
          <w:p w14:paraId="6BE3C210" w14:textId="7058B109" w:rsidR="00665293" w:rsidRPr="00C428CF" w:rsidRDefault="00665293" w:rsidP="00665293">
            <w:pPr>
              <w:rPr>
                <w:rFonts w:cs="Arial"/>
                <w:b/>
                <w:sz w:val="18"/>
                <w:szCs w:val="18"/>
              </w:rPr>
            </w:pPr>
            <w:r w:rsidRPr="00C428CF">
              <w:rPr>
                <w:rFonts w:cs="Arial"/>
                <w:b/>
                <w:sz w:val="18"/>
                <w:szCs w:val="18"/>
              </w:rPr>
              <w:t>Item</w:t>
            </w:r>
          </w:p>
        </w:tc>
        <w:tc>
          <w:tcPr>
            <w:tcW w:w="1170" w:type="dxa"/>
            <w:tcBorders>
              <w:top w:val="single" w:sz="4" w:space="0" w:color="auto"/>
              <w:left w:val="nil"/>
              <w:bottom w:val="single" w:sz="4" w:space="0" w:color="auto"/>
              <w:right w:val="nil"/>
            </w:tcBorders>
          </w:tcPr>
          <w:p w14:paraId="1B98C365" w14:textId="2E747DBD" w:rsidR="00665293" w:rsidRPr="00C428CF" w:rsidRDefault="00665293" w:rsidP="00EA2CAA">
            <w:pPr>
              <w:tabs>
                <w:tab w:val="left" w:pos="611"/>
              </w:tabs>
              <w:ind w:hanging="199"/>
              <w:jc w:val="center"/>
              <w:rPr>
                <w:rFonts w:cs="Arial"/>
                <w:b/>
                <w:sz w:val="18"/>
                <w:szCs w:val="18"/>
              </w:rPr>
            </w:pPr>
            <w:r w:rsidRPr="00C428CF">
              <w:rPr>
                <w:rFonts w:cs="Arial"/>
                <w:b/>
                <w:sz w:val="18"/>
                <w:szCs w:val="18"/>
              </w:rPr>
              <w:t>2019</w:t>
            </w:r>
          </w:p>
        </w:tc>
        <w:tc>
          <w:tcPr>
            <w:tcW w:w="1170" w:type="dxa"/>
            <w:tcBorders>
              <w:top w:val="single" w:sz="4" w:space="0" w:color="auto"/>
              <w:left w:val="nil"/>
              <w:bottom w:val="single" w:sz="4" w:space="0" w:color="auto"/>
              <w:right w:val="nil"/>
            </w:tcBorders>
          </w:tcPr>
          <w:p w14:paraId="4E8CBC9A" w14:textId="710B1C60" w:rsidR="00665293" w:rsidRPr="00C428CF" w:rsidRDefault="00665293" w:rsidP="00665293">
            <w:pPr>
              <w:jc w:val="center"/>
              <w:rPr>
                <w:rFonts w:cs="Arial"/>
                <w:b/>
                <w:sz w:val="18"/>
                <w:szCs w:val="18"/>
              </w:rPr>
            </w:pPr>
            <w:r w:rsidRPr="00C428CF">
              <w:rPr>
                <w:rFonts w:cs="Arial"/>
                <w:b/>
                <w:sz w:val="18"/>
                <w:szCs w:val="18"/>
              </w:rPr>
              <w:t>2020 (f)</w:t>
            </w:r>
          </w:p>
        </w:tc>
        <w:tc>
          <w:tcPr>
            <w:tcW w:w="1080" w:type="dxa"/>
            <w:tcBorders>
              <w:top w:val="single" w:sz="4" w:space="0" w:color="auto"/>
              <w:left w:val="nil"/>
              <w:bottom w:val="single" w:sz="4" w:space="0" w:color="auto"/>
              <w:right w:val="nil"/>
            </w:tcBorders>
          </w:tcPr>
          <w:p w14:paraId="082C41A8" w14:textId="47DFA7A4" w:rsidR="00665293" w:rsidRPr="00C428CF" w:rsidRDefault="00665293" w:rsidP="00665293">
            <w:pPr>
              <w:jc w:val="center"/>
              <w:rPr>
                <w:rFonts w:cs="Arial"/>
                <w:b/>
                <w:sz w:val="18"/>
                <w:szCs w:val="18"/>
              </w:rPr>
            </w:pPr>
            <w:r w:rsidRPr="00C428CF">
              <w:rPr>
                <w:rFonts w:cs="Arial"/>
                <w:b/>
                <w:sz w:val="18"/>
                <w:szCs w:val="18"/>
              </w:rPr>
              <w:t>2020 (f) revised</w:t>
            </w:r>
          </w:p>
        </w:tc>
        <w:tc>
          <w:tcPr>
            <w:tcW w:w="1165" w:type="dxa"/>
            <w:tcBorders>
              <w:top w:val="single" w:sz="4" w:space="0" w:color="auto"/>
              <w:left w:val="nil"/>
              <w:bottom w:val="single" w:sz="4" w:space="0" w:color="auto"/>
              <w:right w:val="nil"/>
            </w:tcBorders>
          </w:tcPr>
          <w:p w14:paraId="24DF781D" w14:textId="78316F94" w:rsidR="00665293" w:rsidRPr="00C428CF" w:rsidRDefault="00665293" w:rsidP="00665293">
            <w:pPr>
              <w:jc w:val="center"/>
              <w:rPr>
                <w:rFonts w:cs="Arial"/>
                <w:b/>
                <w:sz w:val="18"/>
                <w:szCs w:val="18"/>
              </w:rPr>
            </w:pPr>
            <w:r w:rsidRPr="00C428CF">
              <w:rPr>
                <w:rFonts w:cs="Arial"/>
                <w:b/>
                <w:sz w:val="18"/>
                <w:szCs w:val="18"/>
              </w:rPr>
              <w:t>202</w:t>
            </w:r>
            <w:r w:rsidR="00DB27B2">
              <w:rPr>
                <w:rFonts w:cs="Arial"/>
                <w:b/>
                <w:sz w:val="18"/>
                <w:szCs w:val="18"/>
              </w:rPr>
              <w:t>1</w:t>
            </w:r>
            <w:r w:rsidRPr="00C428CF">
              <w:rPr>
                <w:rFonts w:cs="Arial"/>
                <w:b/>
                <w:sz w:val="18"/>
                <w:szCs w:val="18"/>
              </w:rPr>
              <w:t xml:space="preserve"> (f)</w:t>
            </w:r>
          </w:p>
        </w:tc>
      </w:tr>
      <w:tr w:rsidR="00665293" w14:paraId="3B16E2C6" w14:textId="77777777" w:rsidTr="00181801">
        <w:trPr>
          <w:trHeight w:val="206"/>
        </w:trPr>
        <w:tc>
          <w:tcPr>
            <w:tcW w:w="4770" w:type="dxa"/>
            <w:tcBorders>
              <w:top w:val="single" w:sz="4" w:space="0" w:color="auto"/>
              <w:left w:val="nil"/>
              <w:bottom w:val="nil"/>
              <w:right w:val="nil"/>
            </w:tcBorders>
          </w:tcPr>
          <w:p w14:paraId="299FBFD0" w14:textId="4267D2CE" w:rsidR="00665293" w:rsidRPr="00C428CF" w:rsidRDefault="00665293" w:rsidP="00665293">
            <w:pPr>
              <w:rPr>
                <w:rFonts w:cs="Arial"/>
                <w:b/>
                <w:sz w:val="18"/>
                <w:szCs w:val="18"/>
              </w:rPr>
            </w:pPr>
            <w:r w:rsidRPr="00C428CF">
              <w:rPr>
                <w:rFonts w:cs="Arial"/>
                <w:b/>
                <w:sz w:val="18"/>
                <w:szCs w:val="18"/>
              </w:rPr>
              <w:t>Revenues</w:t>
            </w:r>
            <w:r w:rsidR="00A25432" w:rsidRPr="00E54D2D">
              <w:rPr>
                <w:rFonts w:cs="Arial"/>
                <w:bCs/>
                <w:sz w:val="18"/>
                <w:szCs w:val="18"/>
                <w:vertAlign w:val="superscript"/>
              </w:rPr>
              <w:t>a</w:t>
            </w:r>
            <w:r w:rsidR="006F0FAA">
              <w:rPr>
                <w:rFonts w:cs="Arial"/>
                <w:b/>
                <w:sz w:val="18"/>
                <w:szCs w:val="18"/>
              </w:rPr>
              <w:t xml:space="preserve"> </w:t>
            </w:r>
          </w:p>
        </w:tc>
        <w:tc>
          <w:tcPr>
            <w:tcW w:w="1170" w:type="dxa"/>
            <w:tcBorders>
              <w:top w:val="single" w:sz="4" w:space="0" w:color="auto"/>
              <w:left w:val="nil"/>
              <w:bottom w:val="nil"/>
              <w:right w:val="nil"/>
            </w:tcBorders>
          </w:tcPr>
          <w:p w14:paraId="708E531F" w14:textId="7B0E06BD" w:rsidR="00665293" w:rsidRPr="00C428CF" w:rsidRDefault="00665293" w:rsidP="00EA2CAA">
            <w:pPr>
              <w:tabs>
                <w:tab w:val="left" w:pos="521"/>
              </w:tabs>
              <w:ind w:left="-379" w:right="254"/>
              <w:jc w:val="right"/>
              <w:rPr>
                <w:rFonts w:cs="Arial"/>
                <w:b/>
                <w:sz w:val="18"/>
                <w:szCs w:val="18"/>
              </w:rPr>
            </w:pPr>
            <w:r w:rsidRPr="00C428CF">
              <w:rPr>
                <w:rFonts w:cs="Arial"/>
                <w:sz w:val="18"/>
                <w:szCs w:val="18"/>
              </w:rPr>
              <w:t>4,336</w:t>
            </w:r>
          </w:p>
        </w:tc>
        <w:tc>
          <w:tcPr>
            <w:tcW w:w="1170" w:type="dxa"/>
            <w:tcBorders>
              <w:top w:val="single" w:sz="4" w:space="0" w:color="auto"/>
              <w:left w:val="nil"/>
              <w:bottom w:val="nil"/>
              <w:right w:val="nil"/>
            </w:tcBorders>
          </w:tcPr>
          <w:p w14:paraId="1F17ADD2" w14:textId="06B5B0DF" w:rsidR="00665293" w:rsidRPr="00C428CF" w:rsidRDefault="00665293" w:rsidP="00487C4E">
            <w:pPr>
              <w:ind w:right="319"/>
              <w:jc w:val="right"/>
              <w:rPr>
                <w:rFonts w:cs="Arial"/>
                <w:b/>
                <w:sz w:val="18"/>
                <w:szCs w:val="18"/>
              </w:rPr>
            </w:pPr>
            <w:r w:rsidRPr="00C428CF">
              <w:rPr>
                <w:rFonts w:cs="Arial"/>
                <w:sz w:val="18"/>
                <w:szCs w:val="18"/>
              </w:rPr>
              <w:t>4,407</w:t>
            </w:r>
          </w:p>
        </w:tc>
        <w:tc>
          <w:tcPr>
            <w:tcW w:w="1080" w:type="dxa"/>
            <w:tcBorders>
              <w:top w:val="single" w:sz="4" w:space="0" w:color="auto"/>
              <w:left w:val="nil"/>
              <w:bottom w:val="nil"/>
              <w:right w:val="nil"/>
            </w:tcBorders>
          </w:tcPr>
          <w:p w14:paraId="6A7417F2" w14:textId="034F00A1" w:rsidR="00665293" w:rsidRPr="00C428CF" w:rsidRDefault="00665293" w:rsidP="00487C4E">
            <w:pPr>
              <w:ind w:right="308"/>
              <w:jc w:val="right"/>
              <w:rPr>
                <w:rFonts w:cs="Arial"/>
                <w:b/>
                <w:sz w:val="18"/>
                <w:szCs w:val="18"/>
              </w:rPr>
            </w:pPr>
            <w:r w:rsidRPr="00C428CF">
              <w:rPr>
                <w:rFonts w:cs="Arial"/>
                <w:sz w:val="18"/>
                <w:szCs w:val="18"/>
              </w:rPr>
              <w:t>3,944</w:t>
            </w:r>
          </w:p>
        </w:tc>
        <w:tc>
          <w:tcPr>
            <w:tcW w:w="1165" w:type="dxa"/>
            <w:tcBorders>
              <w:top w:val="single" w:sz="4" w:space="0" w:color="auto"/>
              <w:left w:val="nil"/>
              <w:bottom w:val="nil"/>
              <w:right w:val="nil"/>
            </w:tcBorders>
          </w:tcPr>
          <w:p w14:paraId="02C783C6" w14:textId="08D7DB03" w:rsidR="00665293" w:rsidRPr="00C428CF" w:rsidRDefault="00665293" w:rsidP="00487C4E">
            <w:pPr>
              <w:ind w:left="-292" w:right="242"/>
              <w:jc w:val="right"/>
              <w:rPr>
                <w:rFonts w:cs="Arial"/>
                <w:b/>
                <w:sz w:val="18"/>
                <w:szCs w:val="18"/>
              </w:rPr>
            </w:pPr>
            <w:r w:rsidRPr="00C428CF">
              <w:rPr>
                <w:rFonts w:cs="Arial"/>
                <w:sz w:val="18"/>
                <w:szCs w:val="18"/>
              </w:rPr>
              <w:t>4,375</w:t>
            </w:r>
          </w:p>
        </w:tc>
      </w:tr>
      <w:tr w:rsidR="00665293" w14:paraId="1E9FE000" w14:textId="77777777" w:rsidTr="00181801">
        <w:tc>
          <w:tcPr>
            <w:tcW w:w="4770" w:type="dxa"/>
            <w:tcBorders>
              <w:top w:val="nil"/>
              <w:left w:val="nil"/>
              <w:bottom w:val="nil"/>
              <w:right w:val="nil"/>
            </w:tcBorders>
          </w:tcPr>
          <w:p w14:paraId="2AE2873F" w14:textId="4D7F8CAE" w:rsidR="00665293" w:rsidRPr="00C428CF" w:rsidRDefault="00665293" w:rsidP="00665293">
            <w:pPr>
              <w:rPr>
                <w:rFonts w:cs="Arial"/>
                <w:b/>
                <w:sz w:val="18"/>
                <w:szCs w:val="18"/>
              </w:rPr>
            </w:pPr>
            <w:r w:rsidRPr="00C428CF">
              <w:rPr>
                <w:rFonts w:cs="Arial"/>
                <w:b/>
                <w:sz w:val="18"/>
                <w:szCs w:val="18"/>
              </w:rPr>
              <w:t xml:space="preserve">     o.w. taxes</w:t>
            </w:r>
            <w:r w:rsidR="00A25432" w:rsidRPr="00E54D2D">
              <w:rPr>
                <w:rFonts w:cs="Arial"/>
                <w:bCs/>
                <w:sz w:val="18"/>
                <w:szCs w:val="18"/>
                <w:vertAlign w:val="superscript"/>
              </w:rPr>
              <w:t>a</w:t>
            </w:r>
          </w:p>
        </w:tc>
        <w:tc>
          <w:tcPr>
            <w:tcW w:w="1170" w:type="dxa"/>
            <w:tcBorders>
              <w:top w:val="nil"/>
              <w:left w:val="nil"/>
              <w:bottom w:val="nil"/>
              <w:right w:val="nil"/>
            </w:tcBorders>
          </w:tcPr>
          <w:p w14:paraId="4F6B4B76" w14:textId="4E30ABB1" w:rsidR="00665293" w:rsidRPr="00C428CF" w:rsidRDefault="00665293" w:rsidP="00EA2CAA">
            <w:pPr>
              <w:tabs>
                <w:tab w:val="left" w:pos="521"/>
                <w:tab w:val="left" w:pos="616"/>
              </w:tabs>
              <w:ind w:left="-379" w:right="254"/>
              <w:jc w:val="right"/>
              <w:rPr>
                <w:rFonts w:cs="Arial"/>
                <w:sz w:val="18"/>
                <w:szCs w:val="18"/>
              </w:rPr>
            </w:pPr>
            <w:r w:rsidRPr="00C428CF">
              <w:rPr>
                <w:rFonts w:cs="Arial"/>
                <w:sz w:val="18"/>
                <w:szCs w:val="18"/>
              </w:rPr>
              <w:t>3,852</w:t>
            </w:r>
          </w:p>
        </w:tc>
        <w:tc>
          <w:tcPr>
            <w:tcW w:w="1170" w:type="dxa"/>
            <w:tcBorders>
              <w:top w:val="nil"/>
              <w:left w:val="nil"/>
              <w:bottom w:val="nil"/>
              <w:right w:val="nil"/>
            </w:tcBorders>
          </w:tcPr>
          <w:p w14:paraId="623AC3F5" w14:textId="78CF1132" w:rsidR="00665293" w:rsidRPr="00C428CF" w:rsidRDefault="00665293" w:rsidP="00487C4E">
            <w:pPr>
              <w:ind w:right="319"/>
              <w:jc w:val="right"/>
              <w:rPr>
                <w:rFonts w:cs="Arial"/>
                <w:sz w:val="18"/>
                <w:szCs w:val="18"/>
              </w:rPr>
            </w:pPr>
            <w:r w:rsidRPr="00C428CF">
              <w:rPr>
                <w:rFonts w:cs="Arial"/>
                <w:sz w:val="18"/>
                <w:szCs w:val="18"/>
              </w:rPr>
              <w:t>3,978</w:t>
            </w:r>
          </w:p>
        </w:tc>
        <w:tc>
          <w:tcPr>
            <w:tcW w:w="1080" w:type="dxa"/>
            <w:tcBorders>
              <w:top w:val="nil"/>
              <w:left w:val="nil"/>
              <w:bottom w:val="nil"/>
              <w:right w:val="nil"/>
            </w:tcBorders>
          </w:tcPr>
          <w:p w14:paraId="037C82E5" w14:textId="3AD3A419" w:rsidR="00665293" w:rsidRPr="00C428CF" w:rsidRDefault="00665293" w:rsidP="00487C4E">
            <w:pPr>
              <w:ind w:right="308"/>
              <w:jc w:val="right"/>
              <w:rPr>
                <w:rFonts w:cs="Arial"/>
                <w:sz w:val="18"/>
                <w:szCs w:val="18"/>
              </w:rPr>
            </w:pPr>
            <w:r w:rsidRPr="00C428CF">
              <w:rPr>
                <w:rFonts w:cs="Arial"/>
                <w:sz w:val="18"/>
                <w:szCs w:val="18"/>
              </w:rPr>
              <w:t>3,496</w:t>
            </w:r>
          </w:p>
        </w:tc>
        <w:tc>
          <w:tcPr>
            <w:tcW w:w="1165" w:type="dxa"/>
            <w:tcBorders>
              <w:top w:val="nil"/>
              <w:left w:val="nil"/>
              <w:bottom w:val="nil"/>
              <w:right w:val="nil"/>
            </w:tcBorders>
          </w:tcPr>
          <w:p w14:paraId="5AB64C74" w14:textId="644B3383" w:rsidR="00665293" w:rsidRPr="00C428CF" w:rsidRDefault="00665293" w:rsidP="00487C4E">
            <w:pPr>
              <w:ind w:left="-292" w:right="242"/>
              <w:jc w:val="right"/>
              <w:rPr>
                <w:rFonts w:cs="Arial"/>
                <w:sz w:val="18"/>
                <w:szCs w:val="18"/>
              </w:rPr>
            </w:pPr>
            <w:r w:rsidRPr="00C428CF">
              <w:rPr>
                <w:rFonts w:cs="Arial"/>
                <w:sz w:val="18"/>
                <w:szCs w:val="18"/>
              </w:rPr>
              <w:t>3,932</w:t>
            </w:r>
          </w:p>
        </w:tc>
      </w:tr>
      <w:tr w:rsidR="00665293" w14:paraId="102114D9" w14:textId="77777777" w:rsidTr="006F4412">
        <w:tc>
          <w:tcPr>
            <w:tcW w:w="4770" w:type="dxa"/>
            <w:tcBorders>
              <w:top w:val="nil"/>
              <w:left w:val="nil"/>
              <w:bottom w:val="nil"/>
              <w:right w:val="nil"/>
            </w:tcBorders>
          </w:tcPr>
          <w:p w14:paraId="416838E3" w14:textId="3144DD82" w:rsidR="00665293" w:rsidRPr="00C428CF" w:rsidRDefault="00665293" w:rsidP="00665293">
            <w:pPr>
              <w:rPr>
                <w:rFonts w:cs="Arial"/>
                <w:b/>
                <w:sz w:val="18"/>
                <w:szCs w:val="18"/>
              </w:rPr>
            </w:pPr>
            <w:r w:rsidRPr="00C428CF">
              <w:rPr>
                <w:rFonts w:cs="Arial"/>
                <w:b/>
                <w:sz w:val="18"/>
                <w:szCs w:val="18"/>
              </w:rPr>
              <w:t>Expenditure</w:t>
            </w:r>
            <w:r w:rsidR="00A25432" w:rsidRPr="00E54D2D">
              <w:rPr>
                <w:rFonts w:cs="Arial"/>
                <w:bCs/>
                <w:sz w:val="18"/>
                <w:szCs w:val="18"/>
                <w:vertAlign w:val="superscript"/>
              </w:rPr>
              <w:t>a</w:t>
            </w:r>
          </w:p>
        </w:tc>
        <w:tc>
          <w:tcPr>
            <w:tcW w:w="1170" w:type="dxa"/>
            <w:tcBorders>
              <w:top w:val="nil"/>
              <w:left w:val="nil"/>
              <w:bottom w:val="nil"/>
              <w:right w:val="nil"/>
            </w:tcBorders>
          </w:tcPr>
          <w:p w14:paraId="565B21FF" w14:textId="5B6CD393" w:rsidR="00665293" w:rsidRPr="00C428CF" w:rsidRDefault="00665293" w:rsidP="00EA2CAA">
            <w:pPr>
              <w:tabs>
                <w:tab w:val="left" w:pos="521"/>
                <w:tab w:val="left" w:pos="616"/>
              </w:tabs>
              <w:ind w:left="-379" w:right="254"/>
              <w:jc w:val="right"/>
              <w:rPr>
                <w:rFonts w:cs="Arial"/>
                <w:sz w:val="18"/>
                <w:szCs w:val="18"/>
              </w:rPr>
            </w:pPr>
            <w:r w:rsidRPr="00C428CF">
              <w:rPr>
                <w:rFonts w:cs="Arial"/>
                <w:sz w:val="18"/>
                <w:szCs w:val="18"/>
              </w:rPr>
              <w:t>4,631</w:t>
            </w:r>
          </w:p>
        </w:tc>
        <w:tc>
          <w:tcPr>
            <w:tcW w:w="1170" w:type="dxa"/>
            <w:tcBorders>
              <w:top w:val="nil"/>
              <w:left w:val="nil"/>
              <w:bottom w:val="nil"/>
              <w:right w:val="nil"/>
            </w:tcBorders>
          </w:tcPr>
          <w:p w14:paraId="0134230F" w14:textId="3D3194AB" w:rsidR="00665293" w:rsidRPr="00C428CF" w:rsidRDefault="00665293" w:rsidP="00487C4E">
            <w:pPr>
              <w:ind w:right="319"/>
              <w:jc w:val="right"/>
              <w:rPr>
                <w:rFonts w:cs="Arial"/>
                <w:sz w:val="18"/>
                <w:szCs w:val="18"/>
              </w:rPr>
            </w:pPr>
            <w:r w:rsidRPr="00C428CF">
              <w:rPr>
                <w:rFonts w:cs="Arial"/>
                <w:sz w:val="18"/>
                <w:szCs w:val="18"/>
              </w:rPr>
              <w:t>4,792</w:t>
            </w:r>
          </w:p>
        </w:tc>
        <w:tc>
          <w:tcPr>
            <w:tcW w:w="1080" w:type="dxa"/>
            <w:tcBorders>
              <w:top w:val="nil"/>
              <w:left w:val="nil"/>
              <w:bottom w:val="nil"/>
              <w:right w:val="nil"/>
            </w:tcBorders>
          </w:tcPr>
          <w:p w14:paraId="4831ADBF" w14:textId="32212FBA" w:rsidR="00665293" w:rsidRPr="00C428CF" w:rsidRDefault="00665293" w:rsidP="00487C4E">
            <w:pPr>
              <w:ind w:right="308"/>
              <w:jc w:val="right"/>
              <w:rPr>
                <w:rFonts w:cs="Arial"/>
                <w:sz w:val="18"/>
                <w:szCs w:val="18"/>
              </w:rPr>
            </w:pPr>
            <w:r w:rsidRPr="00C428CF">
              <w:rPr>
                <w:rFonts w:cs="Arial"/>
                <w:sz w:val="18"/>
                <w:szCs w:val="18"/>
              </w:rPr>
              <w:t>5,282</w:t>
            </w:r>
          </w:p>
        </w:tc>
        <w:tc>
          <w:tcPr>
            <w:tcW w:w="1165" w:type="dxa"/>
            <w:tcBorders>
              <w:top w:val="nil"/>
              <w:left w:val="nil"/>
              <w:bottom w:val="nil"/>
              <w:right w:val="nil"/>
            </w:tcBorders>
          </w:tcPr>
          <w:p w14:paraId="34E3542D" w14:textId="3E30B09D" w:rsidR="00665293" w:rsidRPr="00C428CF" w:rsidRDefault="00665293" w:rsidP="00487C4E">
            <w:pPr>
              <w:ind w:left="-292" w:right="242"/>
              <w:jc w:val="right"/>
              <w:rPr>
                <w:rFonts w:cs="Arial"/>
                <w:sz w:val="18"/>
                <w:szCs w:val="18"/>
              </w:rPr>
            </w:pPr>
            <w:r w:rsidRPr="00C428CF">
              <w:rPr>
                <w:rFonts w:cs="Arial"/>
                <w:sz w:val="18"/>
                <w:szCs w:val="18"/>
              </w:rPr>
              <w:t>5,157</w:t>
            </w:r>
          </w:p>
        </w:tc>
      </w:tr>
      <w:tr w:rsidR="00665293" w14:paraId="6C9F7956" w14:textId="77777777" w:rsidTr="006F4412">
        <w:tc>
          <w:tcPr>
            <w:tcW w:w="4770" w:type="dxa"/>
            <w:tcBorders>
              <w:top w:val="nil"/>
              <w:left w:val="nil"/>
              <w:bottom w:val="nil"/>
              <w:right w:val="nil"/>
            </w:tcBorders>
          </w:tcPr>
          <w:p w14:paraId="5905DF7E" w14:textId="39F28617" w:rsidR="00665293" w:rsidRPr="00C428CF" w:rsidRDefault="00665293" w:rsidP="00665293">
            <w:pPr>
              <w:rPr>
                <w:rFonts w:cs="Arial"/>
                <w:b/>
                <w:sz w:val="18"/>
                <w:szCs w:val="18"/>
              </w:rPr>
            </w:pPr>
            <w:r w:rsidRPr="00C428CF">
              <w:rPr>
                <w:rFonts w:cs="Arial"/>
                <w:b/>
                <w:sz w:val="18"/>
                <w:szCs w:val="18"/>
              </w:rPr>
              <w:t xml:space="preserve">     o.w. recurrent</w:t>
            </w:r>
            <w:r w:rsidR="00A25432" w:rsidRPr="00E54D2D">
              <w:rPr>
                <w:rFonts w:cs="Arial"/>
                <w:bCs/>
                <w:sz w:val="18"/>
                <w:szCs w:val="18"/>
                <w:vertAlign w:val="superscript"/>
              </w:rPr>
              <w:t>a</w:t>
            </w:r>
          </w:p>
        </w:tc>
        <w:tc>
          <w:tcPr>
            <w:tcW w:w="1170" w:type="dxa"/>
            <w:tcBorders>
              <w:top w:val="nil"/>
              <w:left w:val="nil"/>
              <w:bottom w:val="nil"/>
              <w:right w:val="nil"/>
            </w:tcBorders>
          </w:tcPr>
          <w:p w14:paraId="515BBD7D" w14:textId="316953C5" w:rsidR="00665293" w:rsidRPr="00C428CF" w:rsidRDefault="00665293" w:rsidP="00EA2CAA">
            <w:pPr>
              <w:tabs>
                <w:tab w:val="left" w:pos="521"/>
                <w:tab w:val="left" w:pos="616"/>
              </w:tabs>
              <w:ind w:left="-379" w:right="254"/>
              <w:jc w:val="right"/>
              <w:rPr>
                <w:rFonts w:cs="Arial"/>
                <w:sz w:val="18"/>
                <w:szCs w:val="18"/>
              </w:rPr>
            </w:pPr>
            <w:r w:rsidRPr="00C428CF">
              <w:rPr>
                <w:rFonts w:cs="Arial"/>
                <w:sz w:val="18"/>
                <w:szCs w:val="18"/>
              </w:rPr>
              <w:t>3,417</w:t>
            </w:r>
          </w:p>
        </w:tc>
        <w:tc>
          <w:tcPr>
            <w:tcW w:w="1170" w:type="dxa"/>
            <w:tcBorders>
              <w:top w:val="nil"/>
              <w:left w:val="nil"/>
              <w:bottom w:val="nil"/>
              <w:right w:val="nil"/>
            </w:tcBorders>
          </w:tcPr>
          <w:p w14:paraId="478140A6" w14:textId="63E1014F" w:rsidR="00665293" w:rsidRPr="00C428CF" w:rsidRDefault="00665293" w:rsidP="00487C4E">
            <w:pPr>
              <w:ind w:right="319"/>
              <w:jc w:val="right"/>
              <w:rPr>
                <w:rFonts w:cs="Arial"/>
                <w:sz w:val="18"/>
                <w:szCs w:val="18"/>
              </w:rPr>
            </w:pPr>
            <w:r w:rsidRPr="00C428CF">
              <w:rPr>
                <w:rFonts w:cs="Arial"/>
                <w:sz w:val="18"/>
                <w:szCs w:val="18"/>
              </w:rPr>
              <w:t>3,712</w:t>
            </w:r>
          </w:p>
        </w:tc>
        <w:tc>
          <w:tcPr>
            <w:tcW w:w="1080" w:type="dxa"/>
            <w:tcBorders>
              <w:top w:val="nil"/>
              <w:left w:val="nil"/>
              <w:bottom w:val="nil"/>
              <w:right w:val="nil"/>
            </w:tcBorders>
          </w:tcPr>
          <w:p w14:paraId="4499EAC9" w14:textId="49FC1016" w:rsidR="00665293" w:rsidRPr="00C428CF" w:rsidRDefault="00665293" w:rsidP="00487C4E">
            <w:pPr>
              <w:ind w:right="308"/>
              <w:jc w:val="right"/>
              <w:rPr>
                <w:rFonts w:cs="Arial"/>
                <w:sz w:val="18"/>
                <w:szCs w:val="18"/>
              </w:rPr>
            </w:pPr>
            <w:r w:rsidRPr="00C428CF">
              <w:rPr>
                <w:rFonts w:cs="Arial"/>
                <w:sz w:val="18"/>
                <w:szCs w:val="18"/>
              </w:rPr>
              <w:t>4,281</w:t>
            </w:r>
          </w:p>
        </w:tc>
        <w:tc>
          <w:tcPr>
            <w:tcW w:w="1165" w:type="dxa"/>
            <w:tcBorders>
              <w:top w:val="nil"/>
              <w:left w:val="nil"/>
              <w:bottom w:val="nil"/>
              <w:right w:val="nil"/>
            </w:tcBorders>
          </w:tcPr>
          <w:p w14:paraId="5FD0E9A0" w14:textId="6601F468" w:rsidR="00665293" w:rsidRPr="00C428CF" w:rsidRDefault="00665293" w:rsidP="00487C4E">
            <w:pPr>
              <w:ind w:left="-292" w:right="242"/>
              <w:jc w:val="right"/>
              <w:rPr>
                <w:rFonts w:cs="Arial"/>
                <w:sz w:val="18"/>
                <w:szCs w:val="18"/>
              </w:rPr>
            </w:pPr>
            <w:r w:rsidRPr="00C428CF">
              <w:rPr>
                <w:rFonts w:cs="Arial"/>
                <w:sz w:val="18"/>
                <w:szCs w:val="18"/>
              </w:rPr>
              <w:t>4,101</w:t>
            </w:r>
          </w:p>
        </w:tc>
      </w:tr>
      <w:tr w:rsidR="00665293" w14:paraId="5C06DCB4" w14:textId="77777777" w:rsidTr="006F4412">
        <w:tc>
          <w:tcPr>
            <w:tcW w:w="4770" w:type="dxa"/>
            <w:tcBorders>
              <w:top w:val="nil"/>
              <w:left w:val="nil"/>
              <w:bottom w:val="nil"/>
              <w:right w:val="nil"/>
            </w:tcBorders>
          </w:tcPr>
          <w:p w14:paraId="11787785" w14:textId="0E4DC1EE" w:rsidR="00665293" w:rsidRPr="00C428CF" w:rsidRDefault="00665293" w:rsidP="00665293">
            <w:pPr>
              <w:rPr>
                <w:rFonts w:cs="Arial"/>
                <w:b/>
                <w:sz w:val="18"/>
                <w:szCs w:val="18"/>
              </w:rPr>
            </w:pPr>
            <w:r w:rsidRPr="00C428CF">
              <w:rPr>
                <w:rFonts w:cs="Arial"/>
                <w:b/>
                <w:sz w:val="18"/>
                <w:szCs w:val="18"/>
              </w:rPr>
              <w:t>Financing Gap</w:t>
            </w:r>
          </w:p>
        </w:tc>
        <w:tc>
          <w:tcPr>
            <w:tcW w:w="1170" w:type="dxa"/>
            <w:tcBorders>
              <w:top w:val="nil"/>
              <w:left w:val="nil"/>
              <w:bottom w:val="nil"/>
              <w:right w:val="nil"/>
            </w:tcBorders>
          </w:tcPr>
          <w:p w14:paraId="558DEC14" w14:textId="77777777" w:rsidR="00665293" w:rsidRPr="00C428CF" w:rsidRDefault="00665293" w:rsidP="0087387C">
            <w:pPr>
              <w:jc w:val="right"/>
              <w:rPr>
                <w:rFonts w:cs="Arial"/>
                <w:sz w:val="18"/>
                <w:szCs w:val="18"/>
              </w:rPr>
            </w:pPr>
          </w:p>
        </w:tc>
        <w:tc>
          <w:tcPr>
            <w:tcW w:w="1170" w:type="dxa"/>
            <w:tcBorders>
              <w:top w:val="nil"/>
              <w:left w:val="nil"/>
              <w:bottom w:val="nil"/>
              <w:right w:val="nil"/>
            </w:tcBorders>
          </w:tcPr>
          <w:p w14:paraId="40A68F09" w14:textId="58158773" w:rsidR="00665293" w:rsidRPr="00C428CF" w:rsidRDefault="00665293" w:rsidP="00487C4E">
            <w:pPr>
              <w:ind w:right="319"/>
              <w:jc w:val="right"/>
              <w:rPr>
                <w:rFonts w:cs="Arial"/>
                <w:sz w:val="18"/>
                <w:szCs w:val="18"/>
              </w:rPr>
            </w:pPr>
            <w:r w:rsidRPr="00C428CF">
              <w:rPr>
                <w:rFonts w:cs="Arial"/>
                <w:b/>
                <w:sz w:val="18"/>
                <w:szCs w:val="18"/>
              </w:rPr>
              <w:t xml:space="preserve">     261</w:t>
            </w:r>
          </w:p>
        </w:tc>
        <w:tc>
          <w:tcPr>
            <w:tcW w:w="1080" w:type="dxa"/>
            <w:tcBorders>
              <w:top w:val="nil"/>
              <w:left w:val="nil"/>
              <w:bottom w:val="nil"/>
              <w:right w:val="nil"/>
            </w:tcBorders>
          </w:tcPr>
          <w:p w14:paraId="50CA28F5" w14:textId="4CFA2543" w:rsidR="00665293" w:rsidRPr="00C428CF" w:rsidRDefault="00665293" w:rsidP="00487C4E">
            <w:pPr>
              <w:ind w:right="308"/>
              <w:jc w:val="right"/>
              <w:rPr>
                <w:rFonts w:cs="Arial"/>
                <w:sz w:val="18"/>
                <w:szCs w:val="18"/>
              </w:rPr>
            </w:pPr>
            <w:r w:rsidRPr="00C428CF">
              <w:rPr>
                <w:rFonts w:cs="Arial"/>
                <w:b/>
                <w:sz w:val="18"/>
                <w:szCs w:val="18"/>
              </w:rPr>
              <w:t>1,613</w:t>
            </w:r>
          </w:p>
        </w:tc>
        <w:tc>
          <w:tcPr>
            <w:tcW w:w="1165" w:type="dxa"/>
            <w:tcBorders>
              <w:top w:val="nil"/>
              <w:left w:val="nil"/>
              <w:bottom w:val="nil"/>
              <w:right w:val="nil"/>
            </w:tcBorders>
          </w:tcPr>
          <w:p w14:paraId="76920CED" w14:textId="3374570E" w:rsidR="00665293" w:rsidRPr="00C428CF" w:rsidRDefault="00665293" w:rsidP="00487C4E">
            <w:pPr>
              <w:ind w:left="-292" w:right="242"/>
              <w:jc w:val="right"/>
              <w:rPr>
                <w:rFonts w:cs="Arial"/>
                <w:sz w:val="18"/>
                <w:szCs w:val="18"/>
              </w:rPr>
            </w:pPr>
            <w:r w:rsidRPr="00C428CF">
              <w:rPr>
                <w:rFonts w:cs="Arial"/>
                <w:b/>
                <w:sz w:val="18"/>
                <w:szCs w:val="18"/>
              </w:rPr>
              <w:t>569</w:t>
            </w:r>
          </w:p>
        </w:tc>
      </w:tr>
      <w:tr w:rsidR="00665293" w14:paraId="6BE9F4EE" w14:textId="77777777" w:rsidTr="00181801">
        <w:tc>
          <w:tcPr>
            <w:tcW w:w="4770" w:type="dxa"/>
            <w:tcBorders>
              <w:top w:val="nil"/>
              <w:left w:val="nil"/>
              <w:bottom w:val="nil"/>
              <w:right w:val="nil"/>
            </w:tcBorders>
          </w:tcPr>
          <w:p w14:paraId="25517D9A" w14:textId="05BF39C3" w:rsidR="00665293" w:rsidRPr="00C428CF" w:rsidRDefault="00665293" w:rsidP="00665293">
            <w:pPr>
              <w:rPr>
                <w:rFonts w:cs="Arial"/>
                <w:b/>
                <w:sz w:val="18"/>
                <w:szCs w:val="18"/>
              </w:rPr>
            </w:pPr>
            <w:r w:rsidRPr="00C428CF">
              <w:rPr>
                <w:rFonts w:cs="Arial"/>
                <w:b/>
                <w:sz w:val="18"/>
                <w:szCs w:val="18"/>
              </w:rPr>
              <w:t>Budget Support</w:t>
            </w:r>
            <w:r w:rsidR="00A25432" w:rsidRPr="00E54D2D">
              <w:rPr>
                <w:rFonts w:cs="Arial"/>
                <w:bCs/>
                <w:sz w:val="18"/>
                <w:szCs w:val="18"/>
                <w:vertAlign w:val="superscript"/>
              </w:rPr>
              <w:t>b</w:t>
            </w:r>
          </w:p>
        </w:tc>
        <w:tc>
          <w:tcPr>
            <w:tcW w:w="1170" w:type="dxa"/>
            <w:tcBorders>
              <w:top w:val="nil"/>
              <w:left w:val="nil"/>
              <w:bottom w:val="nil"/>
              <w:right w:val="nil"/>
            </w:tcBorders>
          </w:tcPr>
          <w:p w14:paraId="424C3F42" w14:textId="77777777" w:rsidR="00665293" w:rsidRPr="00C428CF" w:rsidRDefault="00665293" w:rsidP="0087387C">
            <w:pPr>
              <w:jc w:val="right"/>
              <w:rPr>
                <w:rFonts w:cs="Arial"/>
                <w:sz w:val="18"/>
                <w:szCs w:val="18"/>
              </w:rPr>
            </w:pPr>
          </w:p>
        </w:tc>
        <w:tc>
          <w:tcPr>
            <w:tcW w:w="1170" w:type="dxa"/>
            <w:tcBorders>
              <w:top w:val="nil"/>
              <w:left w:val="nil"/>
              <w:bottom w:val="nil"/>
              <w:right w:val="nil"/>
            </w:tcBorders>
          </w:tcPr>
          <w:p w14:paraId="0223974E" w14:textId="35351DE2" w:rsidR="00665293" w:rsidRPr="00C428CF" w:rsidRDefault="00665293" w:rsidP="00487C4E">
            <w:pPr>
              <w:ind w:right="319"/>
              <w:jc w:val="right"/>
              <w:rPr>
                <w:rFonts w:cs="Arial"/>
                <w:b/>
                <w:sz w:val="18"/>
                <w:szCs w:val="18"/>
              </w:rPr>
            </w:pPr>
            <w:r w:rsidRPr="00C428CF">
              <w:rPr>
                <w:rFonts w:cs="Arial"/>
                <w:b/>
                <w:sz w:val="18"/>
                <w:szCs w:val="18"/>
              </w:rPr>
              <w:t xml:space="preserve">     234</w:t>
            </w:r>
          </w:p>
        </w:tc>
        <w:tc>
          <w:tcPr>
            <w:tcW w:w="1080" w:type="dxa"/>
            <w:tcBorders>
              <w:top w:val="nil"/>
              <w:left w:val="nil"/>
              <w:bottom w:val="nil"/>
              <w:right w:val="nil"/>
            </w:tcBorders>
          </w:tcPr>
          <w:p w14:paraId="2A703406" w14:textId="51C84729" w:rsidR="00665293" w:rsidRPr="00C428CF" w:rsidRDefault="00665293" w:rsidP="00487C4E">
            <w:pPr>
              <w:ind w:right="308"/>
              <w:jc w:val="right"/>
              <w:rPr>
                <w:rFonts w:cs="Arial"/>
                <w:b/>
                <w:sz w:val="18"/>
                <w:szCs w:val="18"/>
              </w:rPr>
            </w:pPr>
            <w:r w:rsidRPr="00C428CF">
              <w:rPr>
                <w:rFonts w:cs="Arial"/>
                <w:b/>
                <w:sz w:val="18"/>
                <w:szCs w:val="18"/>
              </w:rPr>
              <w:t>1,782</w:t>
            </w:r>
          </w:p>
        </w:tc>
        <w:tc>
          <w:tcPr>
            <w:tcW w:w="1165" w:type="dxa"/>
            <w:tcBorders>
              <w:top w:val="nil"/>
              <w:left w:val="nil"/>
              <w:bottom w:val="nil"/>
              <w:right w:val="nil"/>
            </w:tcBorders>
          </w:tcPr>
          <w:p w14:paraId="2D8895DC" w14:textId="0B5EC47E" w:rsidR="00665293" w:rsidRPr="00C428CF" w:rsidRDefault="00665293" w:rsidP="00487C4E">
            <w:pPr>
              <w:ind w:left="-292" w:right="242"/>
              <w:jc w:val="right"/>
              <w:rPr>
                <w:rFonts w:cs="Arial"/>
                <w:b/>
                <w:sz w:val="18"/>
                <w:szCs w:val="18"/>
              </w:rPr>
            </w:pPr>
            <w:r w:rsidRPr="00C428CF">
              <w:rPr>
                <w:rFonts w:cs="Arial"/>
                <w:b/>
                <w:sz w:val="18"/>
                <w:szCs w:val="18"/>
              </w:rPr>
              <w:t>145</w:t>
            </w:r>
          </w:p>
        </w:tc>
      </w:tr>
      <w:tr w:rsidR="00665293" w14:paraId="76F3DD34" w14:textId="77777777" w:rsidTr="00181801">
        <w:tc>
          <w:tcPr>
            <w:tcW w:w="4770" w:type="dxa"/>
            <w:tcBorders>
              <w:top w:val="nil"/>
              <w:left w:val="nil"/>
              <w:bottom w:val="nil"/>
              <w:right w:val="nil"/>
            </w:tcBorders>
          </w:tcPr>
          <w:p w14:paraId="42FCF0CB" w14:textId="7438B9FC" w:rsidR="00665293" w:rsidRPr="00B3159C" w:rsidRDefault="00EA2CAA" w:rsidP="00665293">
            <w:pPr>
              <w:rPr>
                <w:rFonts w:cs="Arial"/>
                <w:bCs/>
                <w:sz w:val="18"/>
                <w:szCs w:val="18"/>
              </w:rPr>
            </w:pPr>
            <w:r w:rsidRPr="00B3159C">
              <w:rPr>
                <w:rFonts w:cs="Arial"/>
                <w:bCs/>
                <w:sz w:val="18"/>
                <w:szCs w:val="18"/>
              </w:rPr>
              <w:t>Asian Development Bank</w:t>
            </w:r>
          </w:p>
        </w:tc>
        <w:tc>
          <w:tcPr>
            <w:tcW w:w="1170" w:type="dxa"/>
            <w:tcBorders>
              <w:top w:val="nil"/>
              <w:left w:val="nil"/>
              <w:bottom w:val="nil"/>
              <w:right w:val="nil"/>
            </w:tcBorders>
          </w:tcPr>
          <w:p w14:paraId="7CAE7535" w14:textId="77777777" w:rsidR="00665293" w:rsidRPr="00C428CF" w:rsidRDefault="00665293" w:rsidP="0087387C">
            <w:pPr>
              <w:jc w:val="right"/>
              <w:rPr>
                <w:rFonts w:cs="Arial"/>
                <w:sz w:val="18"/>
                <w:szCs w:val="18"/>
              </w:rPr>
            </w:pPr>
          </w:p>
        </w:tc>
        <w:tc>
          <w:tcPr>
            <w:tcW w:w="1170" w:type="dxa"/>
            <w:tcBorders>
              <w:top w:val="nil"/>
              <w:left w:val="nil"/>
              <w:bottom w:val="nil"/>
              <w:right w:val="nil"/>
            </w:tcBorders>
          </w:tcPr>
          <w:p w14:paraId="4BD36DCF" w14:textId="77777777" w:rsidR="00665293" w:rsidRPr="00C428CF" w:rsidRDefault="00665293" w:rsidP="0087387C">
            <w:pPr>
              <w:jc w:val="right"/>
              <w:rPr>
                <w:rFonts w:cs="Arial"/>
                <w:b/>
                <w:sz w:val="18"/>
                <w:szCs w:val="18"/>
              </w:rPr>
            </w:pPr>
          </w:p>
        </w:tc>
        <w:tc>
          <w:tcPr>
            <w:tcW w:w="1080" w:type="dxa"/>
            <w:tcBorders>
              <w:top w:val="nil"/>
              <w:left w:val="nil"/>
              <w:bottom w:val="nil"/>
              <w:right w:val="nil"/>
            </w:tcBorders>
          </w:tcPr>
          <w:p w14:paraId="09288C46" w14:textId="56905A6F" w:rsidR="00665293" w:rsidRPr="00C428CF" w:rsidRDefault="00665293" w:rsidP="00487C4E">
            <w:pPr>
              <w:ind w:right="308"/>
              <w:jc w:val="right"/>
              <w:rPr>
                <w:rFonts w:cs="Arial"/>
                <w:b/>
                <w:sz w:val="18"/>
                <w:szCs w:val="18"/>
              </w:rPr>
            </w:pPr>
            <w:r w:rsidRPr="00C428CF">
              <w:rPr>
                <w:rFonts w:cs="Arial"/>
                <w:sz w:val="18"/>
                <w:szCs w:val="18"/>
              </w:rPr>
              <w:t>530</w:t>
            </w:r>
          </w:p>
        </w:tc>
        <w:tc>
          <w:tcPr>
            <w:tcW w:w="1165" w:type="dxa"/>
            <w:tcBorders>
              <w:top w:val="nil"/>
              <w:left w:val="nil"/>
              <w:bottom w:val="nil"/>
              <w:right w:val="nil"/>
            </w:tcBorders>
          </w:tcPr>
          <w:p w14:paraId="739A0662" w14:textId="77777777" w:rsidR="00665293" w:rsidRPr="00C428CF" w:rsidRDefault="00665293" w:rsidP="00487C4E">
            <w:pPr>
              <w:ind w:left="-292" w:right="242"/>
              <w:jc w:val="right"/>
              <w:rPr>
                <w:rFonts w:cs="Arial"/>
                <w:b/>
                <w:sz w:val="18"/>
                <w:szCs w:val="18"/>
              </w:rPr>
            </w:pPr>
          </w:p>
        </w:tc>
      </w:tr>
      <w:tr w:rsidR="00665293" w14:paraId="2452F6D1" w14:textId="77777777" w:rsidTr="00181801">
        <w:tc>
          <w:tcPr>
            <w:tcW w:w="4770" w:type="dxa"/>
            <w:tcBorders>
              <w:top w:val="nil"/>
              <w:left w:val="nil"/>
              <w:bottom w:val="nil"/>
              <w:right w:val="nil"/>
            </w:tcBorders>
          </w:tcPr>
          <w:p w14:paraId="4E059050" w14:textId="2EEDA3D9" w:rsidR="00665293" w:rsidRPr="00B3159C" w:rsidRDefault="00EA2CAA" w:rsidP="00665293">
            <w:pPr>
              <w:rPr>
                <w:rFonts w:cs="Arial"/>
                <w:bCs/>
                <w:color w:val="000000" w:themeColor="text1"/>
                <w:sz w:val="18"/>
                <w:szCs w:val="18"/>
              </w:rPr>
            </w:pPr>
            <w:r w:rsidRPr="00B3159C">
              <w:rPr>
                <w:rFonts w:cs="Arial"/>
                <w:bCs/>
                <w:sz w:val="18"/>
                <w:szCs w:val="18"/>
              </w:rPr>
              <w:t>Asian Infrastructure Investment Bank</w:t>
            </w:r>
          </w:p>
        </w:tc>
        <w:tc>
          <w:tcPr>
            <w:tcW w:w="1170" w:type="dxa"/>
            <w:tcBorders>
              <w:top w:val="nil"/>
              <w:left w:val="nil"/>
              <w:bottom w:val="nil"/>
              <w:right w:val="nil"/>
            </w:tcBorders>
          </w:tcPr>
          <w:p w14:paraId="467E349D" w14:textId="77777777" w:rsidR="00665293" w:rsidRPr="00C428CF" w:rsidRDefault="00665293" w:rsidP="0087387C">
            <w:pPr>
              <w:jc w:val="right"/>
              <w:rPr>
                <w:rFonts w:cs="Arial"/>
                <w:sz w:val="18"/>
                <w:szCs w:val="18"/>
              </w:rPr>
            </w:pPr>
          </w:p>
        </w:tc>
        <w:tc>
          <w:tcPr>
            <w:tcW w:w="1170" w:type="dxa"/>
            <w:tcBorders>
              <w:top w:val="nil"/>
              <w:left w:val="nil"/>
              <w:bottom w:val="nil"/>
              <w:right w:val="nil"/>
            </w:tcBorders>
          </w:tcPr>
          <w:p w14:paraId="72B545EC" w14:textId="77777777" w:rsidR="00665293" w:rsidRPr="00C428CF" w:rsidRDefault="00665293" w:rsidP="0087387C">
            <w:pPr>
              <w:jc w:val="right"/>
              <w:rPr>
                <w:rFonts w:cs="Arial"/>
                <w:b/>
                <w:sz w:val="18"/>
                <w:szCs w:val="18"/>
              </w:rPr>
            </w:pPr>
          </w:p>
        </w:tc>
        <w:tc>
          <w:tcPr>
            <w:tcW w:w="1080" w:type="dxa"/>
            <w:tcBorders>
              <w:top w:val="nil"/>
              <w:left w:val="nil"/>
              <w:bottom w:val="nil"/>
              <w:right w:val="nil"/>
            </w:tcBorders>
          </w:tcPr>
          <w:p w14:paraId="2F48553D" w14:textId="649E7FD1" w:rsidR="00665293" w:rsidRPr="00C428CF" w:rsidRDefault="00584937" w:rsidP="00487C4E">
            <w:pPr>
              <w:ind w:right="308"/>
              <w:jc w:val="right"/>
              <w:rPr>
                <w:rFonts w:cs="Arial"/>
                <w:sz w:val="18"/>
                <w:szCs w:val="18"/>
              </w:rPr>
            </w:pPr>
            <w:r>
              <w:rPr>
                <w:rFonts w:cs="Arial"/>
                <w:sz w:val="18"/>
                <w:szCs w:val="18"/>
              </w:rPr>
              <w:t>150</w:t>
            </w:r>
          </w:p>
        </w:tc>
        <w:tc>
          <w:tcPr>
            <w:tcW w:w="1165" w:type="dxa"/>
            <w:tcBorders>
              <w:top w:val="nil"/>
              <w:left w:val="nil"/>
              <w:bottom w:val="nil"/>
              <w:right w:val="nil"/>
            </w:tcBorders>
          </w:tcPr>
          <w:p w14:paraId="04FACB39" w14:textId="77777777" w:rsidR="00665293" w:rsidRPr="00C428CF" w:rsidRDefault="00665293" w:rsidP="0087387C">
            <w:pPr>
              <w:jc w:val="right"/>
              <w:rPr>
                <w:rFonts w:cs="Arial"/>
                <w:sz w:val="18"/>
                <w:szCs w:val="18"/>
              </w:rPr>
            </w:pPr>
          </w:p>
        </w:tc>
      </w:tr>
      <w:tr w:rsidR="00665293" w14:paraId="54402268" w14:textId="77777777" w:rsidTr="00181801">
        <w:tc>
          <w:tcPr>
            <w:tcW w:w="4770" w:type="dxa"/>
            <w:tcBorders>
              <w:top w:val="nil"/>
              <w:left w:val="nil"/>
              <w:bottom w:val="nil"/>
              <w:right w:val="nil"/>
            </w:tcBorders>
          </w:tcPr>
          <w:p w14:paraId="6B5A5A2A" w14:textId="3B74CF51" w:rsidR="00665293" w:rsidRPr="00B3159C" w:rsidRDefault="00665293" w:rsidP="00665293">
            <w:pPr>
              <w:rPr>
                <w:rFonts w:cs="Arial"/>
                <w:bCs/>
                <w:sz w:val="18"/>
                <w:szCs w:val="18"/>
              </w:rPr>
            </w:pPr>
            <w:r w:rsidRPr="00B3159C">
              <w:rPr>
                <w:rFonts w:cs="Arial"/>
                <w:bCs/>
                <w:sz w:val="18"/>
                <w:szCs w:val="18"/>
              </w:rPr>
              <w:t xml:space="preserve">European Union </w:t>
            </w:r>
          </w:p>
        </w:tc>
        <w:tc>
          <w:tcPr>
            <w:tcW w:w="1170" w:type="dxa"/>
            <w:tcBorders>
              <w:top w:val="nil"/>
              <w:left w:val="nil"/>
              <w:bottom w:val="nil"/>
              <w:right w:val="nil"/>
            </w:tcBorders>
          </w:tcPr>
          <w:p w14:paraId="0441F838" w14:textId="77777777" w:rsidR="00665293" w:rsidRPr="00C428CF" w:rsidRDefault="00665293" w:rsidP="0087387C">
            <w:pPr>
              <w:jc w:val="right"/>
              <w:rPr>
                <w:rFonts w:cs="Arial"/>
                <w:sz w:val="18"/>
                <w:szCs w:val="18"/>
              </w:rPr>
            </w:pPr>
          </w:p>
        </w:tc>
        <w:tc>
          <w:tcPr>
            <w:tcW w:w="1170" w:type="dxa"/>
            <w:tcBorders>
              <w:top w:val="nil"/>
              <w:left w:val="nil"/>
              <w:bottom w:val="nil"/>
              <w:right w:val="nil"/>
            </w:tcBorders>
          </w:tcPr>
          <w:p w14:paraId="71DC32AA" w14:textId="77777777" w:rsidR="00665293" w:rsidRPr="00C428CF" w:rsidRDefault="00665293" w:rsidP="0087387C">
            <w:pPr>
              <w:jc w:val="right"/>
              <w:rPr>
                <w:rFonts w:cs="Arial"/>
                <w:b/>
                <w:sz w:val="18"/>
                <w:szCs w:val="18"/>
              </w:rPr>
            </w:pPr>
          </w:p>
        </w:tc>
        <w:tc>
          <w:tcPr>
            <w:tcW w:w="1080" w:type="dxa"/>
            <w:tcBorders>
              <w:top w:val="nil"/>
              <w:left w:val="nil"/>
              <w:bottom w:val="nil"/>
              <w:right w:val="nil"/>
            </w:tcBorders>
          </w:tcPr>
          <w:p w14:paraId="2790980C" w14:textId="71AE089F" w:rsidR="00665293" w:rsidRPr="00C428CF" w:rsidRDefault="00D831A1" w:rsidP="00487C4E">
            <w:pPr>
              <w:ind w:right="308"/>
              <w:jc w:val="right"/>
              <w:rPr>
                <w:rFonts w:cs="Arial"/>
                <w:sz w:val="18"/>
                <w:szCs w:val="18"/>
              </w:rPr>
            </w:pPr>
            <w:r>
              <w:rPr>
                <w:rFonts w:cs="Arial"/>
                <w:sz w:val="18"/>
                <w:szCs w:val="18"/>
              </w:rPr>
              <w:t>223</w:t>
            </w:r>
          </w:p>
        </w:tc>
        <w:tc>
          <w:tcPr>
            <w:tcW w:w="1165" w:type="dxa"/>
            <w:tcBorders>
              <w:top w:val="nil"/>
              <w:left w:val="nil"/>
              <w:bottom w:val="nil"/>
              <w:right w:val="nil"/>
            </w:tcBorders>
          </w:tcPr>
          <w:p w14:paraId="7125DA99" w14:textId="77777777" w:rsidR="00665293" w:rsidRPr="00C428CF" w:rsidRDefault="00665293" w:rsidP="0087387C">
            <w:pPr>
              <w:jc w:val="right"/>
              <w:rPr>
                <w:rFonts w:cs="Arial"/>
                <w:sz w:val="18"/>
                <w:szCs w:val="18"/>
              </w:rPr>
            </w:pPr>
          </w:p>
        </w:tc>
      </w:tr>
      <w:tr w:rsidR="00665293" w14:paraId="40CD5556" w14:textId="77777777" w:rsidTr="00181801">
        <w:tc>
          <w:tcPr>
            <w:tcW w:w="4770" w:type="dxa"/>
            <w:tcBorders>
              <w:top w:val="nil"/>
              <w:left w:val="nil"/>
              <w:bottom w:val="nil"/>
              <w:right w:val="nil"/>
            </w:tcBorders>
          </w:tcPr>
          <w:p w14:paraId="12551B0B" w14:textId="53317153" w:rsidR="00665293" w:rsidRPr="00B3159C" w:rsidRDefault="00665293" w:rsidP="00665293">
            <w:pPr>
              <w:rPr>
                <w:rFonts w:cs="Arial"/>
                <w:bCs/>
                <w:sz w:val="18"/>
                <w:szCs w:val="18"/>
              </w:rPr>
            </w:pPr>
            <w:r w:rsidRPr="00B3159C">
              <w:rPr>
                <w:rFonts w:cs="Arial"/>
                <w:bCs/>
                <w:sz w:val="18"/>
                <w:szCs w:val="18"/>
              </w:rPr>
              <w:t>France (</w:t>
            </w:r>
            <w:r w:rsidR="00EA2CAA" w:rsidRPr="00B3159C">
              <w:rPr>
                <w:rFonts w:cs="Arial"/>
                <w:bCs/>
                <w:sz w:val="18"/>
                <w:szCs w:val="18"/>
              </w:rPr>
              <w:t>Agence Française de Développement</w:t>
            </w:r>
            <w:r w:rsidRPr="00B3159C">
              <w:rPr>
                <w:rFonts w:cs="Arial"/>
                <w:bCs/>
                <w:sz w:val="18"/>
                <w:szCs w:val="18"/>
              </w:rPr>
              <w:t>)</w:t>
            </w:r>
          </w:p>
        </w:tc>
        <w:tc>
          <w:tcPr>
            <w:tcW w:w="1170" w:type="dxa"/>
            <w:tcBorders>
              <w:top w:val="nil"/>
              <w:left w:val="nil"/>
              <w:bottom w:val="nil"/>
              <w:right w:val="nil"/>
            </w:tcBorders>
          </w:tcPr>
          <w:p w14:paraId="65FB204D" w14:textId="77777777" w:rsidR="00665293" w:rsidRPr="00C428CF" w:rsidRDefault="00665293" w:rsidP="0087387C">
            <w:pPr>
              <w:jc w:val="right"/>
              <w:rPr>
                <w:rFonts w:cs="Arial"/>
                <w:sz w:val="18"/>
                <w:szCs w:val="18"/>
              </w:rPr>
            </w:pPr>
          </w:p>
        </w:tc>
        <w:tc>
          <w:tcPr>
            <w:tcW w:w="1170" w:type="dxa"/>
            <w:tcBorders>
              <w:top w:val="nil"/>
              <w:left w:val="nil"/>
              <w:bottom w:val="nil"/>
              <w:right w:val="nil"/>
            </w:tcBorders>
          </w:tcPr>
          <w:p w14:paraId="6E1329B9" w14:textId="77777777" w:rsidR="00665293" w:rsidRPr="00C428CF" w:rsidRDefault="00665293" w:rsidP="0087387C">
            <w:pPr>
              <w:jc w:val="right"/>
              <w:rPr>
                <w:rFonts w:cs="Arial"/>
                <w:b/>
                <w:sz w:val="18"/>
                <w:szCs w:val="18"/>
              </w:rPr>
            </w:pPr>
          </w:p>
        </w:tc>
        <w:tc>
          <w:tcPr>
            <w:tcW w:w="1080" w:type="dxa"/>
            <w:tcBorders>
              <w:top w:val="nil"/>
              <w:left w:val="nil"/>
              <w:bottom w:val="nil"/>
              <w:right w:val="nil"/>
            </w:tcBorders>
          </w:tcPr>
          <w:p w14:paraId="703492CB" w14:textId="74C7B153" w:rsidR="00665293" w:rsidRPr="00C428CF" w:rsidRDefault="00D831A1" w:rsidP="00487C4E">
            <w:pPr>
              <w:ind w:right="308"/>
              <w:jc w:val="right"/>
              <w:rPr>
                <w:rFonts w:cs="Arial"/>
                <w:sz w:val="18"/>
                <w:szCs w:val="18"/>
              </w:rPr>
            </w:pPr>
            <w:r>
              <w:rPr>
                <w:rFonts w:cs="Arial"/>
                <w:sz w:val="18"/>
                <w:szCs w:val="18"/>
              </w:rPr>
              <w:t>205</w:t>
            </w:r>
          </w:p>
        </w:tc>
        <w:tc>
          <w:tcPr>
            <w:tcW w:w="1165" w:type="dxa"/>
            <w:tcBorders>
              <w:top w:val="nil"/>
              <w:left w:val="nil"/>
              <w:bottom w:val="nil"/>
              <w:right w:val="nil"/>
            </w:tcBorders>
          </w:tcPr>
          <w:p w14:paraId="2BF067DD" w14:textId="77777777" w:rsidR="00665293" w:rsidRPr="00C428CF" w:rsidRDefault="00665293" w:rsidP="0087387C">
            <w:pPr>
              <w:jc w:val="right"/>
              <w:rPr>
                <w:rFonts w:cs="Arial"/>
                <w:sz w:val="18"/>
                <w:szCs w:val="18"/>
              </w:rPr>
            </w:pPr>
          </w:p>
        </w:tc>
      </w:tr>
      <w:tr w:rsidR="00665293" w14:paraId="0C96750C" w14:textId="77777777" w:rsidTr="00181801">
        <w:tc>
          <w:tcPr>
            <w:tcW w:w="4770" w:type="dxa"/>
            <w:tcBorders>
              <w:top w:val="nil"/>
              <w:left w:val="nil"/>
              <w:bottom w:val="nil"/>
              <w:right w:val="nil"/>
            </w:tcBorders>
          </w:tcPr>
          <w:p w14:paraId="4E33F0C0" w14:textId="0314FF7E" w:rsidR="00665293" w:rsidRPr="00B3159C" w:rsidRDefault="00665293" w:rsidP="00665293">
            <w:pPr>
              <w:rPr>
                <w:rFonts w:cs="Arial"/>
                <w:bCs/>
                <w:sz w:val="18"/>
                <w:szCs w:val="18"/>
              </w:rPr>
            </w:pPr>
            <w:r w:rsidRPr="00B3159C">
              <w:rPr>
                <w:rFonts w:cs="Arial"/>
                <w:bCs/>
                <w:sz w:val="18"/>
                <w:szCs w:val="18"/>
              </w:rPr>
              <w:t>Germany (KfW)</w:t>
            </w:r>
          </w:p>
        </w:tc>
        <w:tc>
          <w:tcPr>
            <w:tcW w:w="1170" w:type="dxa"/>
            <w:tcBorders>
              <w:top w:val="nil"/>
              <w:left w:val="nil"/>
              <w:bottom w:val="nil"/>
              <w:right w:val="nil"/>
            </w:tcBorders>
          </w:tcPr>
          <w:p w14:paraId="39A7C3D3" w14:textId="77777777" w:rsidR="00665293" w:rsidRPr="00C428CF" w:rsidRDefault="00665293" w:rsidP="0087387C">
            <w:pPr>
              <w:jc w:val="right"/>
              <w:rPr>
                <w:rFonts w:cs="Arial"/>
                <w:sz w:val="18"/>
                <w:szCs w:val="18"/>
              </w:rPr>
            </w:pPr>
          </w:p>
        </w:tc>
        <w:tc>
          <w:tcPr>
            <w:tcW w:w="1170" w:type="dxa"/>
            <w:tcBorders>
              <w:top w:val="nil"/>
              <w:left w:val="nil"/>
              <w:bottom w:val="nil"/>
              <w:right w:val="nil"/>
            </w:tcBorders>
          </w:tcPr>
          <w:p w14:paraId="741059D4" w14:textId="77777777" w:rsidR="00665293" w:rsidRPr="00C428CF" w:rsidRDefault="00665293" w:rsidP="0087387C">
            <w:pPr>
              <w:jc w:val="right"/>
              <w:rPr>
                <w:rFonts w:cs="Arial"/>
                <w:b/>
                <w:sz w:val="18"/>
                <w:szCs w:val="18"/>
              </w:rPr>
            </w:pPr>
          </w:p>
        </w:tc>
        <w:tc>
          <w:tcPr>
            <w:tcW w:w="1080" w:type="dxa"/>
            <w:tcBorders>
              <w:top w:val="nil"/>
              <w:left w:val="nil"/>
              <w:bottom w:val="nil"/>
              <w:right w:val="nil"/>
            </w:tcBorders>
          </w:tcPr>
          <w:p w14:paraId="32531499" w14:textId="2709192D" w:rsidR="00665293" w:rsidRPr="00C428CF" w:rsidRDefault="00D831A1" w:rsidP="00487C4E">
            <w:pPr>
              <w:ind w:right="308"/>
              <w:jc w:val="right"/>
              <w:rPr>
                <w:rFonts w:cs="Arial"/>
                <w:sz w:val="18"/>
                <w:szCs w:val="18"/>
              </w:rPr>
            </w:pPr>
            <w:r>
              <w:rPr>
                <w:rFonts w:cs="Arial"/>
                <w:sz w:val="18"/>
                <w:szCs w:val="18"/>
              </w:rPr>
              <w:t>294</w:t>
            </w:r>
          </w:p>
        </w:tc>
        <w:tc>
          <w:tcPr>
            <w:tcW w:w="1165" w:type="dxa"/>
            <w:tcBorders>
              <w:top w:val="nil"/>
              <w:left w:val="nil"/>
              <w:bottom w:val="nil"/>
              <w:right w:val="nil"/>
            </w:tcBorders>
          </w:tcPr>
          <w:p w14:paraId="384A11B7" w14:textId="77777777" w:rsidR="00665293" w:rsidRPr="00C428CF" w:rsidRDefault="00665293" w:rsidP="0087387C">
            <w:pPr>
              <w:jc w:val="right"/>
              <w:rPr>
                <w:rFonts w:cs="Arial"/>
                <w:sz w:val="18"/>
                <w:szCs w:val="18"/>
              </w:rPr>
            </w:pPr>
          </w:p>
        </w:tc>
      </w:tr>
      <w:tr w:rsidR="00665293" w14:paraId="7ABCB52F" w14:textId="77777777" w:rsidTr="00181801">
        <w:tc>
          <w:tcPr>
            <w:tcW w:w="4770" w:type="dxa"/>
            <w:tcBorders>
              <w:top w:val="nil"/>
              <w:left w:val="nil"/>
              <w:bottom w:val="nil"/>
              <w:right w:val="nil"/>
            </w:tcBorders>
          </w:tcPr>
          <w:p w14:paraId="72B366A0" w14:textId="198E5D13" w:rsidR="00665293" w:rsidRPr="00B3159C" w:rsidRDefault="00EA2CAA" w:rsidP="00665293">
            <w:pPr>
              <w:rPr>
                <w:rFonts w:cs="Arial"/>
                <w:bCs/>
                <w:sz w:val="18"/>
                <w:szCs w:val="18"/>
              </w:rPr>
            </w:pPr>
            <w:r w:rsidRPr="00B3159C">
              <w:rPr>
                <w:rFonts w:cs="Arial"/>
                <w:bCs/>
                <w:sz w:val="18"/>
                <w:szCs w:val="18"/>
              </w:rPr>
              <w:t>International Monetary Fund</w:t>
            </w:r>
          </w:p>
        </w:tc>
        <w:tc>
          <w:tcPr>
            <w:tcW w:w="1170" w:type="dxa"/>
            <w:tcBorders>
              <w:top w:val="nil"/>
              <w:left w:val="nil"/>
              <w:bottom w:val="nil"/>
              <w:right w:val="nil"/>
            </w:tcBorders>
          </w:tcPr>
          <w:p w14:paraId="6774EEED" w14:textId="77777777" w:rsidR="00665293" w:rsidRPr="00C428CF" w:rsidRDefault="00665293" w:rsidP="0087387C">
            <w:pPr>
              <w:jc w:val="right"/>
              <w:rPr>
                <w:rFonts w:cs="Arial"/>
                <w:sz w:val="18"/>
                <w:szCs w:val="18"/>
              </w:rPr>
            </w:pPr>
          </w:p>
        </w:tc>
        <w:tc>
          <w:tcPr>
            <w:tcW w:w="1170" w:type="dxa"/>
            <w:tcBorders>
              <w:top w:val="nil"/>
              <w:left w:val="nil"/>
              <w:bottom w:val="nil"/>
              <w:right w:val="nil"/>
            </w:tcBorders>
          </w:tcPr>
          <w:p w14:paraId="0BFEDC08" w14:textId="77777777" w:rsidR="00665293" w:rsidRPr="00C428CF" w:rsidRDefault="00665293" w:rsidP="0087387C">
            <w:pPr>
              <w:jc w:val="right"/>
              <w:rPr>
                <w:rFonts w:cs="Arial"/>
                <w:b/>
                <w:sz w:val="18"/>
                <w:szCs w:val="18"/>
              </w:rPr>
            </w:pPr>
          </w:p>
        </w:tc>
        <w:tc>
          <w:tcPr>
            <w:tcW w:w="1080" w:type="dxa"/>
            <w:tcBorders>
              <w:top w:val="nil"/>
              <w:left w:val="nil"/>
              <w:bottom w:val="nil"/>
              <w:right w:val="nil"/>
            </w:tcBorders>
          </w:tcPr>
          <w:p w14:paraId="4B4BE1E4" w14:textId="6E9510B8" w:rsidR="00665293" w:rsidRPr="00C428CF" w:rsidRDefault="00D831A1" w:rsidP="00487C4E">
            <w:pPr>
              <w:ind w:right="308"/>
              <w:jc w:val="right"/>
              <w:rPr>
                <w:rFonts w:cs="Arial"/>
                <w:sz w:val="18"/>
                <w:szCs w:val="18"/>
              </w:rPr>
            </w:pPr>
            <w:r>
              <w:rPr>
                <w:rFonts w:cs="Arial"/>
                <w:sz w:val="18"/>
                <w:szCs w:val="18"/>
              </w:rPr>
              <w:t>200</w:t>
            </w:r>
          </w:p>
        </w:tc>
        <w:tc>
          <w:tcPr>
            <w:tcW w:w="1165" w:type="dxa"/>
            <w:tcBorders>
              <w:top w:val="nil"/>
              <w:left w:val="nil"/>
              <w:bottom w:val="nil"/>
              <w:right w:val="nil"/>
            </w:tcBorders>
          </w:tcPr>
          <w:p w14:paraId="3925D081" w14:textId="77777777" w:rsidR="00665293" w:rsidRPr="00C428CF" w:rsidRDefault="00665293" w:rsidP="0087387C">
            <w:pPr>
              <w:jc w:val="right"/>
              <w:rPr>
                <w:rFonts w:cs="Arial"/>
                <w:sz w:val="18"/>
                <w:szCs w:val="18"/>
              </w:rPr>
            </w:pPr>
          </w:p>
        </w:tc>
      </w:tr>
      <w:tr w:rsidR="00665293" w14:paraId="032D8EA9" w14:textId="77777777" w:rsidTr="00181801">
        <w:tc>
          <w:tcPr>
            <w:tcW w:w="4770" w:type="dxa"/>
            <w:tcBorders>
              <w:top w:val="nil"/>
              <w:left w:val="nil"/>
              <w:bottom w:val="single" w:sz="4" w:space="0" w:color="auto"/>
              <w:right w:val="nil"/>
            </w:tcBorders>
          </w:tcPr>
          <w:p w14:paraId="5D39539B" w14:textId="05C6ABC9" w:rsidR="00665293" w:rsidRPr="00B3159C" w:rsidRDefault="00665293" w:rsidP="00665293">
            <w:pPr>
              <w:rPr>
                <w:rFonts w:cs="Arial"/>
                <w:bCs/>
                <w:sz w:val="18"/>
                <w:szCs w:val="18"/>
              </w:rPr>
            </w:pPr>
            <w:r w:rsidRPr="00B3159C">
              <w:rPr>
                <w:rFonts w:cs="Arial"/>
                <w:bCs/>
                <w:sz w:val="18"/>
                <w:szCs w:val="18"/>
              </w:rPr>
              <w:t>World Bank</w:t>
            </w:r>
          </w:p>
        </w:tc>
        <w:tc>
          <w:tcPr>
            <w:tcW w:w="1170" w:type="dxa"/>
            <w:tcBorders>
              <w:top w:val="nil"/>
              <w:left w:val="nil"/>
              <w:bottom w:val="single" w:sz="4" w:space="0" w:color="auto"/>
              <w:right w:val="nil"/>
            </w:tcBorders>
          </w:tcPr>
          <w:p w14:paraId="7B494EDA" w14:textId="77777777" w:rsidR="00665293" w:rsidRPr="00C428CF" w:rsidRDefault="00665293" w:rsidP="0087387C">
            <w:pPr>
              <w:jc w:val="right"/>
              <w:rPr>
                <w:rFonts w:cs="Arial"/>
                <w:sz w:val="18"/>
                <w:szCs w:val="18"/>
              </w:rPr>
            </w:pPr>
          </w:p>
        </w:tc>
        <w:tc>
          <w:tcPr>
            <w:tcW w:w="1170" w:type="dxa"/>
            <w:tcBorders>
              <w:top w:val="nil"/>
              <w:left w:val="nil"/>
              <w:bottom w:val="single" w:sz="4" w:space="0" w:color="auto"/>
              <w:right w:val="nil"/>
            </w:tcBorders>
          </w:tcPr>
          <w:p w14:paraId="4662F077" w14:textId="77777777" w:rsidR="00665293" w:rsidRPr="00C428CF" w:rsidRDefault="00665293" w:rsidP="0087387C">
            <w:pPr>
              <w:jc w:val="right"/>
              <w:rPr>
                <w:rFonts w:cs="Arial"/>
                <w:b/>
                <w:sz w:val="18"/>
                <w:szCs w:val="18"/>
              </w:rPr>
            </w:pPr>
          </w:p>
        </w:tc>
        <w:tc>
          <w:tcPr>
            <w:tcW w:w="1080" w:type="dxa"/>
            <w:tcBorders>
              <w:top w:val="nil"/>
              <w:left w:val="nil"/>
              <w:bottom w:val="single" w:sz="4" w:space="0" w:color="auto"/>
              <w:right w:val="nil"/>
            </w:tcBorders>
          </w:tcPr>
          <w:p w14:paraId="5CAFD507" w14:textId="7373D448" w:rsidR="00665293" w:rsidRPr="00C428CF" w:rsidRDefault="00665293" w:rsidP="00487C4E">
            <w:pPr>
              <w:ind w:right="308"/>
              <w:jc w:val="right"/>
              <w:rPr>
                <w:rFonts w:cs="Arial"/>
                <w:sz w:val="18"/>
                <w:szCs w:val="18"/>
              </w:rPr>
            </w:pPr>
            <w:r w:rsidRPr="00C428CF">
              <w:rPr>
                <w:rFonts w:cs="Arial"/>
                <w:sz w:val="18"/>
                <w:szCs w:val="18"/>
              </w:rPr>
              <w:t>1</w:t>
            </w:r>
            <w:r w:rsidR="00D831A1">
              <w:rPr>
                <w:rFonts w:cs="Arial"/>
                <w:sz w:val="18"/>
                <w:szCs w:val="18"/>
              </w:rPr>
              <w:t>80</w:t>
            </w:r>
          </w:p>
        </w:tc>
        <w:tc>
          <w:tcPr>
            <w:tcW w:w="1165" w:type="dxa"/>
            <w:tcBorders>
              <w:top w:val="nil"/>
              <w:left w:val="nil"/>
              <w:bottom w:val="single" w:sz="4" w:space="0" w:color="auto"/>
              <w:right w:val="nil"/>
            </w:tcBorders>
          </w:tcPr>
          <w:p w14:paraId="608C588A" w14:textId="77777777" w:rsidR="00665293" w:rsidRPr="00C428CF" w:rsidRDefault="00665293" w:rsidP="0087387C">
            <w:pPr>
              <w:jc w:val="right"/>
              <w:rPr>
                <w:rFonts w:cs="Arial"/>
                <w:sz w:val="18"/>
                <w:szCs w:val="18"/>
              </w:rPr>
            </w:pPr>
          </w:p>
        </w:tc>
      </w:tr>
    </w:tbl>
    <w:p w14:paraId="5FAFD835" w14:textId="0C8E69A2" w:rsidR="00A25432" w:rsidRDefault="0094723D" w:rsidP="00C428CF">
      <w:pPr>
        <w:pStyle w:val="ListParagraph"/>
        <w:ind w:left="180" w:hanging="180"/>
        <w:jc w:val="both"/>
        <w:rPr>
          <w:rFonts w:cs="Arial"/>
          <w:color w:val="000000" w:themeColor="text1"/>
          <w:sz w:val="18"/>
          <w:szCs w:val="18"/>
        </w:rPr>
      </w:pPr>
      <w:r w:rsidRPr="0094723D">
        <w:rPr>
          <w:rFonts w:cs="Arial"/>
          <w:color w:val="000000" w:themeColor="text1"/>
          <w:sz w:val="18"/>
          <w:szCs w:val="18"/>
          <w:vertAlign w:val="superscript"/>
        </w:rPr>
        <w:t>a</w:t>
      </w:r>
      <w:r w:rsidR="00C428CF">
        <w:rPr>
          <w:rFonts w:cs="Arial"/>
          <w:color w:val="000000" w:themeColor="text1"/>
          <w:sz w:val="18"/>
          <w:szCs w:val="18"/>
          <w:vertAlign w:val="superscript"/>
        </w:rPr>
        <w:tab/>
      </w:r>
      <w:r w:rsidR="00A25432" w:rsidRPr="00A25432">
        <w:rPr>
          <w:rFonts w:cs="Arial"/>
          <w:color w:val="000000" w:themeColor="text1"/>
          <w:sz w:val="18"/>
          <w:szCs w:val="18"/>
        </w:rPr>
        <w:t>In GEL millions</w:t>
      </w:r>
    </w:p>
    <w:p w14:paraId="4E772851" w14:textId="2882080E" w:rsidR="00E54D2D" w:rsidRDefault="00E54D2D" w:rsidP="00C428CF">
      <w:pPr>
        <w:pStyle w:val="ListParagraph"/>
        <w:ind w:left="180" w:hanging="180"/>
        <w:jc w:val="both"/>
        <w:rPr>
          <w:rFonts w:cs="Arial"/>
          <w:color w:val="000000" w:themeColor="text1"/>
          <w:sz w:val="18"/>
          <w:szCs w:val="18"/>
          <w:vertAlign w:val="superscript"/>
        </w:rPr>
      </w:pPr>
      <w:r w:rsidRPr="00E54D2D">
        <w:rPr>
          <w:rFonts w:cs="Arial"/>
          <w:bCs/>
          <w:sz w:val="18"/>
          <w:szCs w:val="18"/>
          <w:vertAlign w:val="superscript"/>
        </w:rPr>
        <w:t xml:space="preserve">b </w:t>
      </w:r>
      <w:r w:rsidRPr="00E54D2D">
        <w:rPr>
          <w:rFonts w:cs="Arial"/>
          <w:bCs/>
          <w:sz w:val="18"/>
          <w:szCs w:val="18"/>
        </w:rPr>
        <w:t xml:space="preserve">Estimated </w:t>
      </w:r>
      <w:r w:rsidRPr="00E54D2D">
        <w:rPr>
          <w:rFonts w:cs="Arial"/>
          <w:bCs/>
          <w:color w:val="000000" w:themeColor="text1"/>
          <w:sz w:val="18"/>
          <w:szCs w:val="18"/>
        </w:rPr>
        <w:t>as of September 2020</w:t>
      </w:r>
      <w:r>
        <w:rPr>
          <w:rFonts w:cs="Arial"/>
          <w:color w:val="000000" w:themeColor="text1"/>
          <w:sz w:val="18"/>
          <w:szCs w:val="18"/>
          <w:vertAlign w:val="superscript"/>
        </w:rPr>
        <w:t>.</w:t>
      </w:r>
    </w:p>
    <w:p w14:paraId="71E7F06E" w14:textId="18EDD321" w:rsidR="00D8300C" w:rsidRDefault="00C331BA" w:rsidP="00284F1C">
      <w:pPr>
        <w:pStyle w:val="ListParagraph"/>
        <w:ind w:left="0"/>
        <w:jc w:val="both"/>
        <w:rPr>
          <w:rFonts w:cs="Arial"/>
          <w:sz w:val="18"/>
          <w:szCs w:val="20"/>
        </w:rPr>
      </w:pPr>
      <w:r w:rsidRPr="008F7BA7">
        <w:rPr>
          <w:rFonts w:cs="Arial"/>
          <w:sz w:val="18"/>
          <w:szCs w:val="20"/>
        </w:rPr>
        <w:t>Source: ADB staff estimates.</w:t>
      </w:r>
    </w:p>
    <w:p w14:paraId="5F4B70F9" w14:textId="77777777" w:rsidR="00CE511B" w:rsidRPr="00CE511B" w:rsidRDefault="00CE511B" w:rsidP="00CE511B">
      <w:pPr>
        <w:pStyle w:val="ListParagraph"/>
        <w:ind w:left="0"/>
        <w:jc w:val="both"/>
        <w:rPr>
          <w:rFonts w:cs="Arial"/>
          <w:color w:val="FF0000"/>
        </w:rPr>
      </w:pPr>
      <w:bookmarkStart w:id="13" w:name="_Hlk49626442"/>
    </w:p>
    <w:p w14:paraId="00089CD9" w14:textId="685B66E4" w:rsidR="00CE511B" w:rsidRPr="00575C3F" w:rsidRDefault="00CE511B" w:rsidP="00B076B1">
      <w:pPr>
        <w:pStyle w:val="ListParagraph"/>
        <w:numPr>
          <w:ilvl w:val="0"/>
          <w:numId w:val="29"/>
        </w:numPr>
        <w:ind w:left="0" w:firstLine="0"/>
        <w:jc w:val="both"/>
      </w:pPr>
      <w:r w:rsidRPr="00575C3F">
        <w:rPr>
          <w:rFonts w:cs="Arial"/>
          <w:b/>
          <w:bCs/>
        </w:rPr>
        <w:t>ADB continues to coordinate closely with all relevant development partners.</w:t>
      </w:r>
      <w:r w:rsidRPr="00B020BE">
        <w:rPr>
          <w:rFonts w:cs="Arial"/>
        </w:rPr>
        <w:t xml:space="preserve"> ADB team has consulted and coordinated closely with all relevant development partners providing budget support to Georgia in 2020, especially those providing technical </w:t>
      </w:r>
      <w:r w:rsidR="004726A3" w:rsidRPr="00B020BE">
        <w:rPr>
          <w:rFonts w:cs="Arial"/>
        </w:rPr>
        <w:t>assistance support to public debt management</w:t>
      </w:r>
      <w:r w:rsidR="00B020BE" w:rsidRPr="00B020BE">
        <w:rPr>
          <w:rFonts w:cs="Arial"/>
        </w:rPr>
        <w:t>,</w:t>
      </w:r>
      <w:r w:rsidR="004726A3" w:rsidRPr="00B020BE">
        <w:rPr>
          <w:rFonts w:cs="Arial"/>
        </w:rPr>
        <w:t xml:space="preserve"> fiscal risk management and to social protection reform.</w:t>
      </w:r>
      <w:r w:rsidR="00B020BE">
        <w:rPr>
          <w:rStyle w:val="FootnoteReference"/>
        </w:rPr>
        <w:footnoteReference w:id="56"/>
      </w:r>
      <w:r w:rsidR="004726A3" w:rsidRPr="00B020BE">
        <w:rPr>
          <w:rFonts w:cs="Arial"/>
        </w:rPr>
        <w:t xml:space="preserve"> Coordi</w:t>
      </w:r>
      <w:r w:rsidR="00E3335F" w:rsidRPr="00B020BE">
        <w:rPr>
          <w:rFonts w:cs="Arial"/>
        </w:rPr>
        <w:t xml:space="preserve">nation with the IMF </w:t>
      </w:r>
      <w:r w:rsidR="00B80BDE">
        <w:rPr>
          <w:rFonts w:cs="Arial"/>
        </w:rPr>
        <w:t xml:space="preserve">has been particularly important to ensure complementarity of ADB support </w:t>
      </w:r>
      <w:r w:rsidR="008C44C7">
        <w:rPr>
          <w:rFonts w:cs="Arial"/>
        </w:rPr>
        <w:t>with</w:t>
      </w:r>
      <w:r w:rsidR="00B80BDE">
        <w:rPr>
          <w:rFonts w:cs="Arial"/>
        </w:rPr>
        <w:t xml:space="preserve"> the IMF’s Extended Financing Facility</w:t>
      </w:r>
      <w:r w:rsidR="008C44C7">
        <w:rPr>
          <w:rFonts w:cs="Arial"/>
        </w:rPr>
        <w:t>, particularly on structural benchmarks and q</w:t>
      </w:r>
      <w:r w:rsidR="00FE4FE3">
        <w:rPr>
          <w:rFonts w:cs="Arial"/>
        </w:rPr>
        <w:t xml:space="preserve">uantitative performance criterias pertaining relevant to </w:t>
      </w:r>
      <w:r w:rsidR="00FE4FE3" w:rsidRPr="00FE4FE3">
        <w:rPr>
          <w:rFonts w:cs="Arial"/>
        </w:rPr>
        <w:t xml:space="preserve">the coverage and monitoring of fiscal risks, and </w:t>
      </w:r>
      <w:r w:rsidR="00FE4FE3">
        <w:rPr>
          <w:rFonts w:cs="Arial"/>
        </w:rPr>
        <w:t>strengthening the</w:t>
      </w:r>
      <w:r w:rsidR="00FE4FE3" w:rsidRPr="00FE4FE3">
        <w:rPr>
          <w:rFonts w:cs="Arial"/>
        </w:rPr>
        <w:t xml:space="preserve"> corporate governance of state-owned enterprises.</w:t>
      </w:r>
    </w:p>
    <w:p w14:paraId="5BAFBE95" w14:textId="77777777" w:rsidR="00575C3F" w:rsidRDefault="00575C3F" w:rsidP="00575C3F">
      <w:pPr>
        <w:pStyle w:val="ListParagraph"/>
        <w:ind w:left="0"/>
        <w:jc w:val="both"/>
      </w:pPr>
    </w:p>
    <w:p w14:paraId="02F81662" w14:textId="4275148B" w:rsidR="00894209" w:rsidRPr="00284F1C" w:rsidRDefault="63D5D7B3" w:rsidP="00284F1C">
      <w:pPr>
        <w:pStyle w:val="ListParagraph"/>
        <w:numPr>
          <w:ilvl w:val="0"/>
          <w:numId w:val="29"/>
        </w:numPr>
        <w:ind w:left="0" w:firstLine="0"/>
        <w:jc w:val="both"/>
        <w:rPr>
          <w:rFonts w:cs="Arial"/>
          <w:color w:val="FF0000"/>
        </w:rPr>
      </w:pPr>
      <w:r>
        <w:t>The government has reque</w:t>
      </w:r>
      <w:r w:rsidR="4F0B39E2">
        <w:t xml:space="preserve">sted a </w:t>
      </w:r>
      <w:r>
        <w:t xml:space="preserve">loan </w:t>
      </w:r>
      <w:r w:rsidRPr="5D84ACAA">
        <w:rPr>
          <w:rFonts w:cs="Arial"/>
        </w:rPr>
        <w:t>of $</w:t>
      </w:r>
      <w:r w:rsidR="3BC4FE92" w:rsidRPr="5D84ACAA">
        <w:rPr>
          <w:rFonts w:cs="Arial"/>
        </w:rPr>
        <w:t>2</w:t>
      </w:r>
      <w:r w:rsidR="6643935A" w:rsidRPr="5D84ACAA">
        <w:rPr>
          <w:rFonts w:cs="Arial"/>
        </w:rPr>
        <w:t>00</w:t>
      </w:r>
      <w:r w:rsidRPr="5D84ACAA">
        <w:rPr>
          <w:rFonts w:cs="Arial"/>
        </w:rPr>
        <w:t>,000,000 f</w:t>
      </w:r>
      <w:r>
        <w:t xml:space="preserve">rom ADB’s </w:t>
      </w:r>
      <w:r w:rsidRPr="5D84ACAA">
        <w:rPr>
          <w:rFonts w:cs="Arial"/>
        </w:rPr>
        <w:t>ordinary capital</w:t>
      </w:r>
      <w:r>
        <w:t xml:space="preserve"> resources to help finance the </w:t>
      </w:r>
      <w:r w:rsidR="664DEB04">
        <w:t>p</w:t>
      </w:r>
      <w:r>
        <w:t xml:space="preserve">rogram. The loan will have a </w:t>
      </w:r>
      <w:r w:rsidR="6643935A">
        <w:t>15</w:t>
      </w:r>
      <w:r>
        <w:t xml:space="preserve">-year term, including a grace period of </w:t>
      </w:r>
      <w:r w:rsidR="6643935A">
        <w:t>3</w:t>
      </w:r>
      <w:r>
        <w:t xml:space="preserve"> years</w:t>
      </w:r>
      <w:r w:rsidRPr="5D84ACAA">
        <w:rPr>
          <w:rFonts w:cs="Arial"/>
        </w:rPr>
        <w:t>;</w:t>
      </w:r>
      <w:r>
        <w:t xml:space="preserve"> </w:t>
      </w:r>
      <w:r w:rsidR="519C9C3C">
        <w:t xml:space="preserve">an annual interest rate determined in accordance with ADB’s London interbank offered rate (LIBOR)-based lending facility; a commitment charge of 0.15% per year and such other terms </w:t>
      </w:r>
      <w:r w:rsidR="519C9C3C">
        <w:lastRenderedPageBreak/>
        <w:t xml:space="preserve">and conditions set forth in the draft loan agreement. Based on the straight-line method, the average loan maturity is 9.25 years and there is no maturity premium payable to ADB. </w:t>
      </w:r>
      <w:bookmarkEnd w:id="13"/>
    </w:p>
    <w:p w14:paraId="0BC1AFCB" w14:textId="77777777" w:rsidR="00894209" w:rsidRDefault="00894209" w:rsidP="00950EA0">
      <w:pPr>
        <w:spacing w:line="240" w:lineRule="atLeast"/>
      </w:pPr>
    </w:p>
    <w:p w14:paraId="3AD2FA8C" w14:textId="010B9255" w:rsidR="001156C6" w:rsidRPr="005D7AC2" w:rsidRDefault="001156C6" w:rsidP="00E02AF8">
      <w:pPr>
        <w:pStyle w:val="Heading2"/>
        <w:ind w:left="0" w:firstLine="0"/>
        <w:rPr>
          <w:snapToGrid w:val="0"/>
        </w:rPr>
      </w:pPr>
      <w:bookmarkStart w:id="14" w:name="_Toc2503810"/>
      <w:bookmarkStart w:id="15" w:name="_Toc246237711"/>
      <w:bookmarkStart w:id="16" w:name="_Toc49870249"/>
      <w:r w:rsidRPr="005D7AC2">
        <w:rPr>
          <w:snapToGrid w:val="0"/>
        </w:rPr>
        <w:t>Implementation Arrangements</w:t>
      </w:r>
      <w:bookmarkEnd w:id="14"/>
      <w:bookmarkEnd w:id="15"/>
      <w:bookmarkEnd w:id="16"/>
    </w:p>
    <w:p w14:paraId="33497A08" w14:textId="77777777" w:rsidR="00806D4B" w:rsidRDefault="00806D4B" w:rsidP="00806D4B">
      <w:pPr>
        <w:pStyle w:val="TOC3"/>
        <w:numPr>
          <w:ilvl w:val="0"/>
          <w:numId w:val="0"/>
        </w:numPr>
        <w:spacing w:before="0" w:after="0"/>
        <w:rPr>
          <w:rFonts w:cs="Arial"/>
        </w:rPr>
      </w:pPr>
    </w:p>
    <w:p w14:paraId="4A1CF68B" w14:textId="03F81450" w:rsidR="00AC7546" w:rsidRPr="00AC7546" w:rsidRDefault="4B0F1906" w:rsidP="00AC7546">
      <w:pPr>
        <w:pStyle w:val="ListParagraph"/>
        <w:numPr>
          <w:ilvl w:val="0"/>
          <w:numId w:val="29"/>
        </w:numPr>
        <w:ind w:left="0" w:firstLine="0"/>
        <w:jc w:val="both"/>
        <w:rPr>
          <w:rFonts w:cs="Arial"/>
          <w:color w:val="FF0000"/>
        </w:rPr>
      </w:pPr>
      <w:r w:rsidRPr="00284F1C">
        <w:rPr>
          <w:rFonts w:cs="Arial"/>
        </w:rPr>
        <w:t xml:space="preserve">The Ministry of Finance will be the executing agency. The Ministry of Economy and Sustainable Development, Central Bank, and Ministry of Finance are the proposed primary implementing agencies. The indicative implementation periods are December 2018 to October 2020 for subprogram 1 and October 2020 to October 2021 for subprogram 2. </w:t>
      </w:r>
      <w:r w:rsidRPr="0003721E">
        <w:t xml:space="preserve">The proceeds of the loan will be disbursed in accordance with ADB’s </w:t>
      </w:r>
      <w:r w:rsidRPr="5D84ACAA">
        <w:rPr>
          <w:i/>
          <w:iCs/>
        </w:rPr>
        <w:t>Loan Disbursement Handbook</w:t>
      </w:r>
      <w:r w:rsidRPr="0003721E">
        <w:t xml:space="preserve"> (2017, as amended from time to time).</w:t>
      </w:r>
      <w:r w:rsidR="00284F1C">
        <w:rPr>
          <w:rStyle w:val="FootnoteReference"/>
        </w:rPr>
        <w:footnoteReference w:id="57"/>
      </w:r>
    </w:p>
    <w:p w14:paraId="7355DBE1" w14:textId="79716BA8" w:rsidR="0051528C" w:rsidRDefault="0051528C" w:rsidP="00E00CF9">
      <w:pPr>
        <w:spacing w:line="240" w:lineRule="atLeast"/>
      </w:pPr>
    </w:p>
    <w:p w14:paraId="0F12879E" w14:textId="45FCAD84" w:rsidR="001156C6" w:rsidRDefault="001156C6" w:rsidP="00E02AF8">
      <w:pPr>
        <w:pStyle w:val="Heading1"/>
        <w:ind w:left="0" w:firstLine="0"/>
      </w:pPr>
      <w:bookmarkStart w:id="17" w:name="_Toc491178998"/>
      <w:bookmarkStart w:id="18" w:name="_Toc491179000"/>
      <w:bookmarkStart w:id="19" w:name="_Toc49870250"/>
      <w:bookmarkEnd w:id="17"/>
      <w:bookmarkEnd w:id="18"/>
      <w:r w:rsidRPr="00333873">
        <w:t xml:space="preserve">Due </w:t>
      </w:r>
      <w:r w:rsidR="00333873" w:rsidRPr="00333873">
        <w:t>Diligence</w:t>
      </w:r>
      <w:bookmarkEnd w:id="19"/>
    </w:p>
    <w:p w14:paraId="09998B0E" w14:textId="61B86EFA" w:rsidR="005F0AB7" w:rsidRDefault="005F0AB7" w:rsidP="005F0AB7"/>
    <w:p w14:paraId="055C83F3" w14:textId="0D43A7C3" w:rsidR="00077A40" w:rsidRPr="00077A40" w:rsidRDefault="34602B48" w:rsidP="00077A40">
      <w:pPr>
        <w:pStyle w:val="ListParagraph"/>
        <w:numPr>
          <w:ilvl w:val="0"/>
          <w:numId w:val="29"/>
        </w:numPr>
        <w:ind w:left="0" w:firstLine="0"/>
        <w:jc w:val="both"/>
        <w:rPr>
          <w:rFonts w:cs="Arial"/>
          <w:color w:val="FF0000"/>
        </w:rPr>
      </w:pPr>
      <w:r w:rsidRPr="64803C5B">
        <w:rPr>
          <w:b/>
          <w:bCs/>
        </w:rPr>
        <w:t>Governance</w:t>
      </w:r>
      <w:r w:rsidRPr="64803C5B">
        <w:t xml:space="preserve">. </w:t>
      </w:r>
      <w:r w:rsidR="00094190">
        <w:rPr>
          <w:bCs/>
        </w:rPr>
        <w:t>Public financial management (</w:t>
      </w:r>
      <w:r w:rsidRPr="64803C5B">
        <w:t>PFM</w:t>
      </w:r>
      <w:r w:rsidR="00094190">
        <w:rPr>
          <w:bCs/>
        </w:rPr>
        <w:t>)</w:t>
      </w:r>
      <w:r w:rsidRPr="64803C5B">
        <w:t xml:space="preserve"> systems have improved significantly in Georgia with the implementation of the </w:t>
      </w:r>
      <w:r w:rsidR="0043446C">
        <w:rPr>
          <w:bCs/>
        </w:rPr>
        <w:t>Public Financial Management Reform Strategy</w:t>
      </w:r>
      <w:r w:rsidRPr="64803C5B">
        <w:t>—minimizing the risks associated with poor financial management of the Program. According to the most recent Public Expenditure and Financial Accountability Assessment (2018) Georgia has sound systems in place for strategic budget planning, execution and accounting and reporting.</w:t>
      </w:r>
      <w:r w:rsidR="00AC7546" w:rsidRPr="00DF1238">
        <w:rPr>
          <w:vertAlign w:val="superscript"/>
        </w:rPr>
        <w:footnoteReference w:id="58"/>
      </w:r>
      <w:r w:rsidRPr="64803C5B">
        <w:t xml:space="preserve"> Notable improvements in fiscal discipline are reflected in a reduction of variance of expenditure outturn when compared with the budget (decreased use of virements) and robust execution rates for revenue and stronger oversight of aggregate fiscal risk from state-owned enterprises and public-private partnerships, which the </w:t>
      </w:r>
      <w:r w:rsidR="00C455F3">
        <w:rPr>
          <w:bCs/>
        </w:rPr>
        <w:t>p</w:t>
      </w:r>
      <w:r w:rsidR="00AC7546" w:rsidRPr="00AC7546">
        <w:rPr>
          <w:bCs/>
        </w:rPr>
        <w:t>rogram</w:t>
      </w:r>
      <w:r w:rsidRPr="64803C5B">
        <w:t xml:space="preserve"> supports. Georgia has improved its strategic allocation of resources through its multi-year budgeting tool and preparation of costed sector strategies. Finally, Georgia has witnessed an increase in the efficiency of the use of resources for service delivery, with increased effectiveness of payroll controls; internal audit; timelier and more regular reconciliation of accounts; and expansion of the scope and nature of follow-up audits. </w:t>
      </w:r>
    </w:p>
    <w:p w14:paraId="068F1771" w14:textId="77777777" w:rsidR="00077A40" w:rsidRPr="00077A40" w:rsidRDefault="00077A40" w:rsidP="00077A40">
      <w:pPr>
        <w:pStyle w:val="ListParagraph"/>
        <w:ind w:left="0"/>
        <w:jc w:val="both"/>
        <w:rPr>
          <w:rFonts w:cs="Arial"/>
          <w:color w:val="FF0000"/>
        </w:rPr>
      </w:pPr>
    </w:p>
    <w:p w14:paraId="67EE74C6" w14:textId="3C4C3F39" w:rsidR="00AC7546" w:rsidRPr="00DC0EB2" w:rsidRDefault="68CBCB7A" w:rsidP="00DC0EB2">
      <w:pPr>
        <w:pStyle w:val="ListParagraph"/>
        <w:numPr>
          <w:ilvl w:val="0"/>
          <w:numId w:val="29"/>
        </w:numPr>
        <w:ind w:left="0" w:firstLine="0"/>
        <w:jc w:val="both"/>
      </w:pPr>
      <w:r w:rsidRPr="00077A40">
        <w:rPr>
          <w:b/>
          <w:bCs/>
        </w:rPr>
        <w:t>Poverty and Gender.</w:t>
      </w:r>
      <w:r w:rsidRPr="00AC7546">
        <w:t xml:space="preserve"> </w:t>
      </w:r>
      <w:r w:rsidR="3856FBC7" w:rsidRPr="00077A40">
        <w:rPr>
          <w:rFonts w:eastAsia="Arial" w:cs="Arial"/>
          <w:lang w:val="en-PH"/>
        </w:rPr>
        <w:t>The proposed program support</w:t>
      </w:r>
      <w:r w:rsidR="00F27F9F" w:rsidRPr="00077A40">
        <w:rPr>
          <w:rFonts w:eastAsia="Arial" w:cs="Arial"/>
          <w:lang w:val="en-PH"/>
        </w:rPr>
        <w:t>s the</w:t>
      </w:r>
      <w:r w:rsidR="3856FBC7" w:rsidRPr="00077A40">
        <w:rPr>
          <w:rFonts w:eastAsia="Arial" w:cs="Arial"/>
          <w:lang w:val="en-PH"/>
        </w:rPr>
        <w:t xml:space="preserve"> government of Georgia to address </w:t>
      </w:r>
      <w:r w:rsidR="00F27F9F" w:rsidRPr="00077A40">
        <w:rPr>
          <w:rFonts w:eastAsia="Arial" w:cs="Arial"/>
          <w:lang w:val="en-PH"/>
        </w:rPr>
        <w:t xml:space="preserve">the </w:t>
      </w:r>
      <w:r w:rsidR="00217E78">
        <w:rPr>
          <w:rFonts w:eastAsia="Arial" w:cs="Arial"/>
          <w:lang w:val="en-PH"/>
        </w:rPr>
        <w:t>advers impacts</w:t>
      </w:r>
      <w:r w:rsidR="3856FBC7" w:rsidRPr="00077A40">
        <w:rPr>
          <w:rFonts w:eastAsia="Arial" w:cs="Arial"/>
          <w:lang w:val="en-PH"/>
        </w:rPr>
        <w:t xml:space="preserve"> of the pandemic</w:t>
      </w:r>
      <w:r w:rsidR="00CA405E">
        <w:rPr>
          <w:rFonts w:eastAsia="Arial" w:cs="Arial"/>
          <w:lang w:val="en-PH"/>
        </w:rPr>
        <w:t xml:space="preserve"> on </w:t>
      </w:r>
      <w:r w:rsidR="0027715D">
        <w:rPr>
          <w:rFonts w:eastAsia="Arial" w:cs="Arial"/>
          <w:lang w:val="en-PH"/>
        </w:rPr>
        <w:t>the most vulnerable</w:t>
      </w:r>
      <w:r w:rsidR="1A55C293" w:rsidRPr="00077A40">
        <w:rPr>
          <w:rFonts w:eastAsia="Arial" w:cs="Arial"/>
          <w:lang w:val="en-PH"/>
        </w:rPr>
        <w:t>,</w:t>
      </w:r>
      <w:r w:rsidR="3856FBC7" w:rsidRPr="00077A40">
        <w:rPr>
          <w:rFonts w:eastAsia="Arial" w:cs="Arial"/>
          <w:lang w:val="en-PH"/>
        </w:rPr>
        <w:t xml:space="preserve"> in particular </w:t>
      </w:r>
      <w:r w:rsidR="00F27F9F" w:rsidRPr="00077A40">
        <w:rPr>
          <w:rFonts w:eastAsia="Arial" w:cs="Arial"/>
          <w:lang w:val="en-PH"/>
        </w:rPr>
        <w:t xml:space="preserve">the </w:t>
      </w:r>
      <w:r w:rsidR="3856FBC7" w:rsidRPr="00077A40">
        <w:rPr>
          <w:rFonts w:eastAsia="Arial" w:cs="Arial"/>
          <w:lang w:val="en-PH"/>
        </w:rPr>
        <w:t>elderly who are disproportionally exposed to the consequences of the COVID-19</w:t>
      </w:r>
      <w:r w:rsidR="5F00AF16" w:rsidRPr="00077A40">
        <w:rPr>
          <w:rFonts w:eastAsia="Arial" w:cs="Arial"/>
          <w:lang w:val="en-PH"/>
        </w:rPr>
        <w:t>.</w:t>
      </w:r>
      <w:r w:rsidR="3856FBC7" w:rsidRPr="00AC7546">
        <w:t xml:space="preserve"> </w:t>
      </w:r>
      <w:r w:rsidRPr="00AC7546">
        <w:t xml:space="preserve">Despite substantial gains, households in Georgia remain highly </w:t>
      </w:r>
      <w:r>
        <w:t>vulnerable to shocks</w:t>
      </w:r>
      <w:r w:rsidR="5258EBEB" w:rsidRPr="00AC7546">
        <w:t xml:space="preserve">, </w:t>
      </w:r>
      <w:r>
        <w:t>including those associated with the outbreak of COVID-19</w:t>
      </w:r>
      <w:r w:rsidR="27FCD3E8">
        <w:t xml:space="preserve"> which </w:t>
      </w:r>
      <w:r w:rsidR="5258EBEB">
        <w:t>is estimated to</w:t>
      </w:r>
      <w:r w:rsidR="27FCD3E8">
        <w:t xml:space="preserve"> </w:t>
      </w:r>
      <w:r w:rsidR="30D7E418">
        <w:t>increase the national po</w:t>
      </w:r>
      <w:r w:rsidR="57C8759C">
        <w:t>v</w:t>
      </w:r>
      <w:r w:rsidR="30D7E418">
        <w:t>erty headcount from</w:t>
      </w:r>
      <w:r w:rsidR="1DCD2808">
        <w:t xml:space="preserve"> 20.1</w:t>
      </w:r>
      <w:r w:rsidR="30D7E418">
        <w:t xml:space="preserve">% in 2019 to </w:t>
      </w:r>
      <w:r w:rsidR="40BDE54D" w:rsidRPr="00AC7546">
        <w:t>28.5% in 2020</w:t>
      </w:r>
      <w:r>
        <w:t>.</w:t>
      </w:r>
      <w:r w:rsidR="00AA5A88">
        <w:rPr>
          <w:rStyle w:val="FootnoteReference"/>
        </w:rPr>
        <w:footnoteReference w:id="59"/>
      </w:r>
      <w:r w:rsidR="596B8249">
        <w:t>￼</w:t>
      </w:r>
      <w:r w:rsidR="27438978">
        <w:t xml:space="preserve"> </w:t>
      </w:r>
      <w:r>
        <w:t>Further, while absolute poverty ($1.90/day) has declined sharply from 12.2% in 2010 to 3.7% estimated for 2020, the effects of COVID-19 could lead to a rise in poverty incidence to 8.6%</w:t>
      </w:r>
      <w:r w:rsidR="006B3366">
        <w:rPr>
          <w:rStyle w:val="FootnoteReference"/>
        </w:rPr>
        <w:footnoteReference w:id="60"/>
      </w:r>
      <w:r>
        <w:t xml:space="preserve"> Georgia’s current social welfare system covers a relatively high share of the population but may not be sufficient to address the needs of its poorest citizens. </w:t>
      </w:r>
      <w:r w:rsidR="00D42C0D">
        <w:t xml:space="preserve">As of 2018, </w:t>
      </w:r>
      <w:r>
        <w:t>only 11.7% of Georgians receive a subsistence allowance under the targeted social assistance, against 20.1% of people living under the national poverty line</w:t>
      </w:r>
      <w:r w:rsidR="00AE6D2F">
        <w:t xml:space="preserve">, suggesting that </w:t>
      </w:r>
      <w:r w:rsidR="00E02F86">
        <w:t>wider coverage may be necessary</w:t>
      </w:r>
      <w:r>
        <w:t>.</w:t>
      </w:r>
      <w:r w:rsidR="00B16CAB" w:rsidRPr="00077A40">
        <w:rPr>
          <w:rFonts w:eastAsia="Arial" w:cs="Arial"/>
          <w:lang w:val="en-PH"/>
        </w:rPr>
        <w:t>The</w:t>
      </w:r>
      <w:r w:rsidR="003957FC">
        <w:rPr>
          <w:rFonts w:eastAsia="Arial" w:cs="Arial"/>
          <w:lang w:val="en-PH"/>
        </w:rPr>
        <w:t xml:space="preserve"> proposed</w:t>
      </w:r>
      <w:r w:rsidR="00B16CAB" w:rsidRPr="00077A40">
        <w:rPr>
          <w:rFonts w:eastAsia="Arial" w:cs="Arial"/>
          <w:lang w:val="en-PH"/>
        </w:rPr>
        <w:t xml:space="preserve"> program introduces structural and institutional reforms that seek to mitigate </w:t>
      </w:r>
      <w:r w:rsidR="00B16CAB" w:rsidRPr="3B262963">
        <w:t>increase</w:t>
      </w:r>
      <w:r w:rsidR="00B16CAB">
        <w:t>s</w:t>
      </w:r>
      <w:r w:rsidR="00B16CAB" w:rsidRPr="3B262963">
        <w:t xml:space="preserve"> in poverty incidence</w:t>
      </w:r>
      <w:r w:rsidR="00B16CAB">
        <w:t xml:space="preserve">, especially old-age poverty, whilst also including proactive gender mainstreaming features. </w:t>
      </w:r>
      <w:r w:rsidR="00077A40">
        <w:t xml:space="preserve">Increases </w:t>
      </w:r>
      <w:r w:rsidR="003957FC">
        <w:t>in p</w:t>
      </w:r>
      <w:r w:rsidR="004D0970">
        <w:t>ens</w:t>
      </w:r>
      <w:r w:rsidR="003957FC">
        <w:t xml:space="preserve">ion payouts for </w:t>
      </w:r>
      <w:r w:rsidR="003957FC" w:rsidRPr="003957FC">
        <w:t xml:space="preserve"> </w:t>
      </w:r>
      <w:r w:rsidR="004D0970">
        <w:t>people aged</w:t>
      </w:r>
      <w:r w:rsidR="003957FC" w:rsidRPr="003957FC">
        <w:t xml:space="preserve"> 70 and above is particularly relevant for women who make up 66% of all beneficiaries within this age bracket and who are disproportionately vulnerable to the adverse health and economic effects of the COVID-19 crisis.</w:t>
      </w:r>
      <w:r w:rsidR="00704422">
        <w:t xml:space="preserve"> Further,</w:t>
      </w:r>
      <w:r w:rsidR="003957FC" w:rsidRPr="003957FC">
        <w:t xml:space="preserve"> </w:t>
      </w:r>
      <w:r w:rsidR="00704422">
        <w:t xml:space="preserve">indexing increases in pension payouts </w:t>
      </w:r>
      <w:r w:rsidR="008F7BB7">
        <w:t xml:space="preserve">to maintain its purchasing </w:t>
      </w:r>
      <w:r w:rsidR="008F7BB7">
        <w:lastRenderedPageBreak/>
        <w:t xml:space="preserve">power </w:t>
      </w:r>
      <w:r w:rsidR="00343FF4">
        <w:t>protect the</w:t>
      </w:r>
      <w:r w:rsidR="008F7BB7">
        <w:t xml:space="preserve"> 71% of women</w:t>
      </w:r>
      <w:r w:rsidR="00343FF4">
        <w:t xml:space="preserve"> that benefit from the universal pension scheme from gradual loss of income </w:t>
      </w:r>
      <w:r w:rsidR="009B05A7">
        <w:t>and poverty.</w:t>
      </w:r>
      <w:r w:rsidR="00B87934">
        <w:t xml:space="preserve"> </w:t>
      </w:r>
      <w:r w:rsidR="0022368F">
        <w:t xml:space="preserve">The Program also ensures that newly or recently </w:t>
      </w:r>
      <w:r w:rsidR="009A0389">
        <w:t>created</w:t>
      </w:r>
      <w:r w:rsidR="0022368F">
        <w:t xml:space="preserve"> </w:t>
      </w:r>
      <w:r w:rsidR="009A0389">
        <w:t>public</w:t>
      </w:r>
      <w:r w:rsidR="0022368F">
        <w:t xml:space="preserve"> agencies</w:t>
      </w:r>
      <w:r w:rsidR="009A0389">
        <w:t xml:space="preserve"> are staffed in a gender-sensitive manner. </w:t>
      </w:r>
      <w:r w:rsidR="002422F4">
        <w:t xml:space="preserve">To this end, at least 50% of technical staff recruited for the Pension Agency are women. Likewise, 85% of all technical staff in the Fiscal Risk Management Division are women. </w:t>
      </w:r>
      <w:r w:rsidR="1AB0F15B" w:rsidRPr="00DC0EB2">
        <w:rPr>
          <w:rFonts w:eastAsia="Arial" w:cs="Arial"/>
          <w:lang w:val="en-PH"/>
        </w:rPr>
        <w:t>The program is c</w:t>
      </w:r>
      <w:r w:rsidR="4D17210D" w:rsidRPr="00DC0EB2">
        <w:rPr>
          <w:rFonts w:eastAsia="Arial" w:cs="Arial"/>
          <w:lang w:val="en-PH"/>
        </w:rPr>
        <w:t>lassified as Effective Gender Mainstreaming</w:t>
      </w:r>
      <w:r w:rsidR="006E093D" w:rsidRPr="00DC0EB2">
        <w:rPr>
          <w:rFonts w:eastAsia="Arial" w:cs="Arial"/>
          <w:lang w:val="en-PH"/>
        </w:rPr>
        <w:t>.</w:t>
      </w:r>
      <w:r w:rsidR="74239C44" w:rsidRPr="00DC0EB2">
        <w:rPr>
          <w:rFonts w:eastAsia="Arial" w:cs="Arial"/>
          <w:lang w:val="en-PH"/>
        </w:rPr>
        <w:t xml:space="preserve"> </w:t>
      </w:r>
      <w:bookmarkStart w:id="20" w:name="_Toc466544014"/>
    </w:p>
    <w:p w14:paraId="7DE6BD53" w14:textId="77777777" w:rsidR="00AC7546" w:rsidRPr="00AC7546" w:rsidRDefault="00AC7546" w:rsidP="00AC7546">
      <w:pPr>
        <w:pStyle w:val="ListParagraph"/>
        <w:ind w:left="0"/>
        <w:jc w:val="both"/>
        <w:rPr>
          <w:rFonts w:cs="Arial"/>
          <w:color w:val="FF0000"/>
        </w:rPr>
      </w:pPr>
    </w:p>
    <w:p w14:paraId="3CFE27E7" w14:textId="77777777" w:rsidR="00AC7546" w:rsidRPr="00AC7546" w:rsidRDefault="68CBCB7A" w:rsidP="00DF1238">
      <w:pPr>
        <w:pStyle w:val="ListParagraph"/>
        <w:numPr>
          <w:ilvl w:val="0"/>
          <w:numId w:val="29"/>
        </w:numPr>
        <w:ind w:left="0" w:firstLine="0"/>
        <w:jc w:val="both"/>
        <w:rPr>
          <w:rFonts w:cs="Arial"/>
          <w:color w:val="FF0000"/>
        </w:rPr>
      </w:pPr>
      <w:r w:rsidRPr="3B262963">
        <w:rPr>
          <w:rFonts w:cs="Arial"/>
          <w:b/>
          <w:bCs/>
        </w:rPr>
        <w:t>Safeguards</w:t>
      </w:r>
      <w:r w:rsidRPr="3B262963">
        <w:rPr>
          <w:rFonts w:cs="Arial"/>
        </w:rPr>
        <w:t>. The loan is categorized C for environment, involuntary resettlement, and indigenous peoples. The loan funds are not expected to cause land acquisition or adverse impacts to the environment or indigenous peoples. Investment activities prohibited under ADB’s Safeguard Policy Statement (2009) will be excluded.</w:t>
      </w:r>
      <w:bookmarkEnd w:id="20"/>
    </w:p>
    <w:p w14:paraId="7D4D8B4D" w14:textId="77777777" w:rsidR="00AC7546" w:rsidRPr="00AC7546" w:rsidRDefault="00AC7546" w:rsidP="00AC7546">
      <w:pPr>
        <w:pStyle w:val="ListParagraph"/>
        <w:rPr>
          <w:rFonts w:cs="Arial"/>
          <w:b/>
          <w:bCs/>
        </w:rPr>
      </w:pPr>
    </w:p>
    <w:p w14:paraId="022399DF" w14:textId="34E8F2DA" w:rsidR="00AC7546" w:rsidRPr="00AC7546" w:rsidRDefault="68CBCB7A" w:rsidP="00AC7546">
      <w:pPr>
        <w:pStyle w:val="ListParagraph"/>
        <w:numPr>
          <w:ilvl w:val="0"/>
          <w:numId w:val="29"/>
        </w:numPr>
        <w:ind w:left="0" w:firstLine="0"/>
        <w:jc w:val="both"/>
        <w:rPr>
          <w:rFonts w:cs="Arial"/>
          <w:color w:val="FF0000"/>
        </w:rPr>
      </w:pPr>
      <w:r w:rsidRPr="00AC7546">
        <w:rPr>
          <w:rFonts w:cs="Arial"/>
          <w:b/>
          <w:bCs/>
        </w:rPr>
        <w:t>Risks and mitigation measures.</w:t>
      </w:r>
      <w:r w:rsidRPr="00AC7546">
        <w:rPr>
          <w:rFonts w:cs="Arial"/>
        </w:rPr>
        <w:t xml:space="preserve"> Major risks and mitigating measures are summarized in Table 3 and described in detail in the risk assessment and risk management plan.</w:t>
      </w:r>
      <w:r w:rsidR="00C0283E" w:rsidRPr="00C0283E">
        <w:rPr>
          <w:vertAlign w:val="superscript"/>
        </w:rPr>
        <w:footnoteReference w:id="61"/>
      </w:r>
    </w:p>
    <w:p w14:paraId="1D6C06C3" w14:textId="77777777" w:rsidR="00C0283E" w:rsidRPr="00C0283E" w:rsidRDefault="00C0283E" w:rsidP="00C0283E">
      <w:pPr>
        <w:widowControl w:val="0"/>
        <w:spacing w:line="200" w:lineRule="exact"/>
        <w:rPr>
          <w:rFonts w:eastAsia="MS Mincho" w:cs="Arial"/>
          <w:lang w:eastAsia="ja-JP"/>
        </w:rPr>
      </w:pPr>
    </w:p>
    <w:p w14:paraId="544C234E" w14:textId="44BC942B" w:rsidR="00C0283E" w:rsidRDefault="00C0283E" w:rsidP="00C0283E">
      <w:pPr>
        <w:jc w:val="center"/>
        <w:rPr>
          <w:rFonts w:cs="Arial"/>
          <w:b/>
          <w:bCs/>
        </w:rPr>
      </w:pPr>
      <w:r w:rsidRPr="00C0283E">
        <w:rPr>
          <w:rFonts w:cs="Arial"/>
          <w:b/>
          <w:bCs/>
        </w:rPr>
        <w:t>Table 3: Summary of Risks and Mitigating Measures</w:t>
      </w:r>
    </w:p>
    <w:tbl>
      <w:tblPr>
        <w:tblW w:w="9360" w:type="dxa"/>
        <w:jc w:val="center"/>
        <w:tblBorders>
          <w:top w:val="single" w:sz="4" w:space="0" w:color="auto"/>
          <w:bottom w:val="single" w:sz="4" w:space="0" w:color="auto"/>
        </w:tblBorders>
        <w:tblLayout w:type="fixed"/>
        <w:tblLook w:val="0000" w:firstRow="0" w:lastRow="0" w:firstColumn="0" w:lastColumn="0" w:noHBand="0" w:noVBand="0"/>
      </w:tblPr>
      <w:tblGrid>
        <w:gridCol w:w="2790"/>
        <w:gridCol w:w="6570"/>
      </w:tblGrid>
      <w:tr w:rsidR="00C0283E" w:rsidRPr="00C0283E" w14:paraId="78C19F83" w14:textId="77777777" w:rsidTr="004E3ED8">
        <w:trPr>
          <w:tblHeader/>
          <w:jc w:val="center"/>
        </w:trPr>
        <w:tc>
          <w:tcPr>
            <w:tcW w:w="2790" w:type="dxa"/>
            <w:tcBorders>
              <w:top w:val="single" w:sz="4" w:space="0" w:color="auto"/>
              <w:bottom w:val="single" w:sz="4" w:space="0" w:color="auto"/>
            </w:tcBorders>
            <w:noWrap/>
          </w:tcPr>
          <w:p w14:paraId="07F35795" w14:textId="77777777" w:rsidR="00C0283E" w:rsidRPr="00C0283E" w:rsidRDefault="00C0283E" w:rsidP="00C0283E">
            <w:pPr>
              <w:jc w:val="left"/>
              <w:rPr>
                <w:rFonts w:cs="Arial"/>
                <w:b/>
                <w:sz w:val="18"/>
                <w:szCs w:val="18"/>
              </w:rPr>
            </w:pPr>
            <w:r w:rsidRPr="00C0283E">
              <w:rPr>
                <w:rFonts w:cs="Arial"/>
                <w:b/>
                <w:sz w:val="18"/>
                <w:szCs w:val="18"/>
              </w:rPr>
              <w:t>Risks</w:t>
            </w:r>
          </w:p>
        </w:tc>
        <w:tc>
          <w:tcPr>
            <w:tcW w:w="6570" w:type="dxa"/>
            <w:tcBorders>
              <w:top w:val="single" w:sz="4" w:space="0" w:color="auto"/>
              <w:bottom w:val="single" w:sz="4" w:space="0" w:color="auto"/>
            </w:tcBorders>
            <w:noWrap/>
          </w:tcPr>
          <w:p w14:paraId="1D73A65A" w14:textId="77777777" w:rsidR="00C0283E" w:rsidRPr="00C0283E" w:rsidRDefault="00C0283E" w:rsidP="00C0283E">
            <w:pPr>
              <w:jc w:val="center"/>
              <w:rPr>
                <w:rFonts w:cs="Arial"/>
                <w:b/>
                <w:sz w:val="18"/>
                <w:szCs w:val="18"/>
              </w:rPr>
            </w:pPr>
            <w:r w:rsidRPr="00C0283E">
              <w:rPr>
                <w:rFonts w:cs="Arial"/>
                <w:b/>
                <w:sz w:val="18"/>
                <w:szCs w:val="18"/>
              </w:rPr>
              <w:t>Mitigating Measures</w:t>
            </w:r>
          </w:p>
        </w:tc>
      </w:tr>
      <w:tr w:rsidR="00553787" w:rsidRPr="005D7F90" w14:paraId="0038C7FE" w14:textId="77777777" w:rsidTr="004E3ED8">
        <w:trPr>
          <w:jc w:val="center"/>
        </w:trPr>
        <w:tc>
          <w:tcPr>
            <w:tcW w:w="2790" w:type="dxa"/>
            <w:tcBorders>
              <w:top w:val="single" w:sz="4" w:space="0" w:color="auto"/>
              <w:bottom w:val="nil"/>
            </w:tcBorders>
            <w:noWrap/>
          </w:tcPr>
          <w:p w14:paraId="705E9E1E" w14:textId="20B91077" w:rsidR="00553787" w:rsidRPr="008F7BA7" w:rsidRDefault="005D7F90" w:rsidP="00C0283E">
            <w:pPr>
              <w:jc w:val="left"/>
              <w:rPr>
                <w:rFonts w:cs="Arial"/>
                <w:bCs/>
                <w:sz w:val="18"/>
                <w:szCs w:val="18"/>
              </w:rPr>
            </w:pPr>
            <w:r w:rsidRPr="008F7BA7">
              <w:rPr>
                <w:rFonts w:cs="Arial"/>
                <w:bCs/>
                <w:sz w:val="18"/>
                <w:szCs w:val="18"/>
              </w:rPr>
              <w:t xml:space="preserve">Incidence of </w:t>
            </w:r>
            <w:r w:rsidR="00D4035B" w:rsidRPr="00D4035B">
              <w:rPr>
                <w:rFonts w:cs="Arial"/>
                <w:bCs/>
                <w:sz w:val="18"/>
                <w:szCs w:val="18"/>
              </w:rPr>
              <w:t xml:space="preserve">coronavirus disease </w:t>
            </w:r>
            <w:r w:rsidR="00D4035B">
              <w:rPr>
                <w:rFonts w:cs="Arial"/>
                <w:bCs/>
                <w:sz w:val="18"/>
                <w:szCs w:val="18"/>
              </w:rPr>
              <w:t>(</w:t>
            </w:r>
            <w:r w:rsidRPr="008F7BA7">
              <w:rPr>
                <w:rFonts w:cs="Arial"/>
                <w:bCs/>
                <w:sz w:val="18"/>
                <w:szCs w:val="18"/>
              </w:rPr>
              <w:t>COVID-19</w:t>
            </w:r>
            <w:r w:rsidR="00D4035B">
              <w:rPr>
                <w:rFonts w:cs="Arial"/>
                <w:bCs/>
                <w:sz w:val="18"/>
                <w:szCs w:val="18"/>
              </w:rPr>
              <w:t>)</w:t>
            </w:r>
            <w:r w:rsidRPr="008F7BA7">
              <w:rPr>
                <w:rFonts w:cs="Arial"/>
                <w:bCs/>
                <w:sz w:val="18"/>
                <w:szCs w:val="18"/>
              </w:rPr>
              <w:t xml:space="preserve"> increases substantially placing significant burden in public health systems and triggering another nation-wide lockdown.</w:t>
            </w:r>
          </w:p>
        </w:tc>
        <w:tc>
          <w:tcPr>
            <w:tcW w:w="6570" w:type="dxa"/>
            <w:tcBorders>
              <w:top w:val="single" w:sz="4" w:space="0" w:color="auto"/>
              <w:bottom w:val="nil"/>
            </w:tcBorders>
            <w:noWrap/>
          </w:tcPr>
          <w:p w14:paraId="7EFF7F6D" w14:textId="0C78A86B" w:rsidR="00553787" w:rsidRDefault="005D7F90" w:rsidP="005D7F90">
            <w:pPr>
              <w:rPr>
                <w:rFonts w:cs="Arial"/>
                <w:bCs/>
                <w:sz w:val="18"/>
                <w:szCs w:val="18"/>
              </w:rPr>
            </w:pPr>
            <w:r w:rsidRPr="005D7F90">
              <w:rPr>
                <w:rFonts w:cs="Arial"/>
                <w:bCs/>
                <w:sz w:val="18"/>
                <w:szCs w:val="18"/>
              </w:rPr>
              <w:t xml:space="preserve">Cooperate with </w:t>
            </w:r>
            <w:r w:rsidR="00827FAF" w:rsidRPr="00827FAF">
              <w:rPr>
                <w:rFonts w:cs="Arial"/>
                <w:bCs/>
                <w:sz w:val="18"/>
                <w:szCs w:val="18"/>
              </w:rPr>
              <w:t xml:space="preserve">Ministry of Internally Displaced Persons from the Occupied Territories, Labour, Health and Social Affairs </w:t>
            </w:r>
            <w:r w:rsidR="00827FAF">
              <w:rPr>
                <w:rFonts w:cs="Arial"/>
                <w:bCs/>
                <w:sz w:val="18"/>
                <w:szCs w:val="18"/>
              </w:rPr>
              <w:t>(</w:t>
            </w:r>
            <w:r w:rsidRPr="005D7F90">
              <w:rPr>
                <w:rFonts w:cs="Arial"/>
                <w:bCs/>
                <w:sz w:val="18"/>
                <w:szCs w:val="18"/>
              </w:rPr>
              <w:t>MoILHSA</w:t>
            </w:r>
            <w:r w:rsidR="00827FAF">
              <w:rPr>
                <w:rFonts w:cs="Arial"/>
                <w:bCs/>
                <w:sz w:val="18"/>
                <w:szCs w:val="18"/>
              </w:rPr>
              <w:t>)</w:t>
            </w:r>
            <w:r w:rsidRPr="005D7F90">
              <w:rPr>
                <w:rFonts w:cs="Arial"/>
                <w:bCs/>
                <w:sz w:val="18"/>
                <w:szCs w:val="18"/>
              </w:rPr>
              <w:t xml:space="preserve">, other </w:t>
            </w:r>
            <w:r w:rsidR="00D4035B">
              <w:rPr>
                <w:rFonts w:cs="Arial"/>
                <w:bCs/>
                <w:sz w:val="18"/>
                <w:szCs w:val="18"/>
              </w:rPr>
              <w:t>i</w:t>
            </w:r>
            <w:r w:rsidR="00D4035B" w:rsidRPr="00D4035B">
              <w:rPr>
                <w:rFonts w:cs="Arial"/>
                <w:bCs/>
                <w:sz w:val="18"/>
                <w:szCs w:val="18"/>
              </w:rPr>
              <w:t xml:space="preserve">nternational </w:t>
            </w:r>
            <w:r w:rsidR="00D4035B">
              <w:rPr>
                <w:rFonts w:cs="Arial"/>
                <w:bCs/>
                <w:sz w:val="18"/>
                <w:szCs w:val="18"/>
              </w:rPr>
              <w:t>f</w:t>
            </w:r>
            <w:r w:rsidR="00D4035B" w:rsidRPr="00D4035B">
              <w:rPr>
                <w:rFonts w:cs="Arial"/>
                <w:bCs/>
                <w:sz w:val="18"/>
                <w:szCs w:val="18"/>
              </w:rPr>
              <w:t xml:space="preserve">inancial </w:t>
            </w:r>
            <w:r w:rsidR="00D4035B">
              <w:rPr>
                <w:rFonts w:cs="Arial"/>
                <w:bCs/>
                <w:sz w:val="18"/>
                <w:szCs w:val="18"/>
              </w:rPr>
              <w:t>i</w:t>
            </w:r>
            <w:r w:rsidR="00D4035B" w:rsidRPr="00D4035B">
              <w:rPr>
                <w:rFonts w:cs="Arial"/>
                <w:bCs/>
                <w:sz w:val="18"/>
                <w:szCs w:val="18"/>
              </w:rPr>
              <w:t>nstitutions</w:t>
            </w:r>
            <w:r w:rsidRPr="005D7F90">
              <w:rPr>
                <w:rFonts w:cs="Arial"/>
                <w:bCs/>
                <w:sz w:val="18"/>
                <w:szCs w:val="18"/>
              </w:rPr>
              <w:t xml:space="preserve">, specialized donors and UN-specialized agencies to support government’s efforts to contain spread of coronavirus (immediate- to short-term) and strengthen health care system and capacity (long-term). Utilize existing </w:t>
            </w:r>
            <w:r w:rsidR="00CE4EC8">
              <w:rPr>
                <w:rFonts w:cs="Arial"/>
                <w:bCs/>
                <w:sz w:val="18"/>
                <w:szCs w:val="18"/>
              </w:rPr>
              <w:t>technical assistance</w:t>
            </w:r>
            <w:r w:rsidR="00827FAF">
              <w:rPr>
                <w:rFonts w:cs="Arial"/>
                <w:bCs/>
                <w:sz w:val="18"/>
                <w:szCs w:val="18"/>
              </w:rPr>
              <w:t xml:space="preserve"> (</w:t>
            </w:r>
            <w:r w:rsidRPr="005D7F90">
              <w:rPr>
                <w:rFonts w:cs="Arial"/>
                <w:bCs/>
                <w:sz w:val="18"/>
                <w:szCs w:val="18"/>
              </w:rPr>
              <w:t>TA</w:t>
            </w:r>
            <w:r w:rsidR="00827FAF">
              <w:rPr>
                <w:rFonts w:cs="Arial"/>
                <w:bCs/>
                <w:sz w:val="18"/>
                <w:szCs w:val="18"/>
              </w:rPr>
              <w:t>)</w:t>
            </w:r>
            <w:r w:rsidRPr="005D7F90">
              <w:rPr>
                <w:rFonts w:cs="Arial"/>
                <w:bCs/>
                <w:sz w:val="18"/>
                <w:szCs w:val="18"/>
              </w:rPr>
              <w:t xml:space="preserve"> resources to provide technical assistance support to MoILHSA and grant resources made available under a regional TA facility to help procuring medical supplies and equipment.</w:t>
            </w:r>
          </w:p>
          <w:p w14:paraId="78E4E52C" w14:textId="05AAA819" w:rsidR="009B30F4" w:rsidRPr="00D14DBA" w:rsidRDefault="009B30F4" w:rsidP="008F7BA7">
            <w:pPr>
              <w:rPr>
                <w:rFonts w:cs="Arial"/>
                <w:sz w:val="4"/>
                <w:szCs w:val="4"/>
              </w:rPr>
            </w:pPr>
          </w:p>
        </w:tc>
      </w:tr>
      <w:tr w:rsidR="005D7F90" w:rsidRPr="005D7F90" w14:paraId="786CCCAD" w14:textId="77777777" w:rsidTr="004E3ED8">
        <w:trPr>
          <w:jc w:val="center"/>
        </w:trPr>
        <w:tc>
          <w:tcPr>
            <w:tcW w:w="2790" w:type="dxa"/>
            <w:tcBorders>
              <w:top w:val="nil"/>
              <w:bottom w:val="single" w:sz="4" w:space="0" w:color="auto"/>
            </w:tcBorders>
            <w:noWrap/>
          </w:tcPr>
          <w:p w14:paraId="21422AD8" w14:textId="39681FE3" w:rsidR="005D7F90" w:rsidRPr="005D7F90" w:rsidRDefault="005D7F90" w:rsidP="008F7BA7">
            <w:pPr>
              <w:rPr>
                <w:rFonts w:cs="Arial"/>
                <w:sz w:val="18"/>
                <w:szCs w:val="18"/>
              </w:rPr>
            </w:pPr>
            <w:r w:rsidRPr="005D7F90">
              <w:rPr>
                <w:rFonts w:cs="Arial"/>
                <w:bCs/>
                <w:sz w:val="18"/>
                <w:szCs w:val="18"/>
              </w:rPr>
              <w:t>Regional and global economic outlook worsens, creating pressures on the external balance and placing downward pressure on the GEL, leading increasing debt burden for foreign currency denominated public debt, and higher inflationary pressure.</w:t>
            </w:r>
          </w:p>
        </w:tc>
        <w:tc>
          <w:tcPr>
            <w:tcW w:w="6570" w:type="dxa"/>
            <w:tcBorders>
              <w:top w:val="nil"/>
              <w:bottom w:val="single" w:sz="4" w:space="0" w:color="auto"/>
            </w:tcBorders>
            <w:noWrap/>
          </w:tcPr>
          <w:p w14:paraId="30A3775C" w14:textId="0F9A5826" w:rsidR="005D7F90" w:rsidRPr="005D7F90" w:rsidRDefault="005D7F90" w:rsidP="005D7F90">
            <w:pPr>
              <w:rPr>
                <w:rFonts w:cs="Arial"/>
                <w:bCs/>
                <w:sz w:val="18"/>
                <w:szCs w:val="18"/>
              </w:rPr>
            </w:pPr>
            <w:r w:rsidRPr="005D7F90">
              <w:rPr>
                <w:rFonts w:cs="Arial"/>
                <w:bCs/>
                <w:sz w:val="18"/>
                <w:szCs w:val="18"/>
              </w:rPr>
              <w:t>In the short</w:t>
            </w:r>
            <w:r w:rsidR="00D14DBA">
              <w:rPr>
                <w:rFonts w:cs="Arial"/>
                <w:bCs/>
                <w:sz w:val="18"/>
                <w:szCs w:val="18"/>
              </w:rPr>
              <w:t>-</w:t>
            </w:r>
            <w:r w:rsidRPr="005D7F90">
              <w:rPr>
                <w:rFonts w:cs="Arial"/>
                <w:bCs/>
                <w:sz w:val="18"/>
                <w:szCs w:val="18"/>
              </w:rPr>
              <w:t>term:</w:t>
            </w:r>
          </w:p>
          <w:p w14:paraId="0A26E036" w14:textId="2B36E87D" w:rsidR="005D7F90" w:rsidRPr="005D7F90" w:rsidRDefault="005D7F90" w:rsidP="008F7BA7">
            <w:pPr>
              <w:tabs>
                <w:tab w:val="left" w:pos="270"/>
              </w:tabs>
              <w:ind w:left="255" w:hanging="255"/>
              <w:rPr>
                <w:rFonts w:cs="Arial"/>
                <w:bCs/>
                <w:sz w:val="18"/>
                <w:szCs w:val="18"/>
              </w:rPr>
            </w:pPr>
            <w:r w:rsidRPr="005D7F90">
              <w:rPr>
                <w:rFonts w:cs="Arial"/>
                <w:bCs/>
                <w:sz w:val="18"/>
                <w:szCs w:val="18"/>
              </w:rPr>
              <w:t>•</w:t>
            </w:r>
            <w:r w:rsidRPr="005D7F90">
              <w:rPr>
                <w:rFonts w:cs="Arial"/>
                <w:bCs/>
                <w:sz w:val="18"/>
                <w:szCs w:val="18"/>
              </w:rPr>
              <w:tab/>
              <w:t xml:space="preserve">Continue to monitor evolution of macroeconomic situation closely with </w:t>
            </w:r>
            <w:r w:rsidR="00CE4EC8">
              <w:rPr>
                <w:rFonts w:cs="Arial"/>
                <w:bCs/>
                <w:sz w:val="18"/>
                <w:szCs w:val="18"/>
              </w:rPr>
              <w:t>Ministry of Finance</w:t>
            </w:r>
            <w:r w:rsidRPr="005D7F90">
              <w:rPr>
                <w:rFonts w:cs="Arial"/>
                <w:bCs/>
                <w:sz w:val="18"/>
                <w:szCs w:val="18"/>
              </w:rPr>
              <w:t xml:space="preserve"> and other </w:t>
            </w:r>
            <w:r w:rsidR="00D229C0" w:rsidRPr="00D229C0">
              <w:rPr>
                <w:rFonts w:cs="Arial"/>
                <w:bCs/>
                <w:sz w:val="18"/>
                <w:szCs w:val="18"/>
              </w:rPr>
              <w:t>international financial institutions</w:t>
            </w:r>
            <w:r w:rsidRPr="005D7F90">
              <w:rPr>
                <w:rFonts w:cs="Arial"/>
                <w:bCs/>
                <w:sz w:val="18"/>
                <w:szCs w:val="18"/>
              </w:rPr>
              <w:t xml:space="preserve">. </w:t>
            </w:r>
          </w:p>
          <w:p w14:paraId="12EDA848" w14:textId="77777777" w:rsidR="005D7F90" w:rsidRDefault="005D7F90" w:rsidP="00C11A0F">
            <w:pPr>
              <w:tabs>
                <w:tab w:val="left" w:pos="270"/>
              </w:tabs>
              <w:ind w:left="255" w:hanging="255"/>
              <w:rPr>
                <w:rFonts w:cs="Arial"/>
                <w:bCs/>
                <w:sz w:val="18"/>
                <w:szCs w:val="18"/>
              </w:rPr>
            </w:pPr>
            <w:r w:rsidRPr="005D7F90">
              <w:rPr>
                <w:rFonts w:cs="Arial"/>
                <w:bCs/>
                <w:sz w:val="18"/>
                <w:szCs w:val="18"/>
              </w:rPr>
              <w:t>•</w:t>
            </w:r>
            <w:r w:rsidRPr="005D7F90">
              <w:rPr>
                <w:rFonts w:cs="Arial"/>
                <w:bCs/>
                <w:sz w:val="18"/>
                <w:szCs w:val="18"/>
              </w:rPr>
              <w:tab/>
              <w:t xml:space="preserve">Utilize existing TA resources, particularly the </w:t>
            </w:r>
            <w:r w:rsidR="00D229C0" w:rsidRPr="00D229C0">
              <w:rPr>
                <w:rFonts w:cs="Arial"/>
                <w:bCs/>
                <w:sz w:val="18"/>
                <w:szCs w:val="18"/>
              </w:rPr>
              <w:t>Monitoring, Evaluation and Learning</w:t>
            </w:r>
            <w:r w:rsidRPr="005D7F90">
              <w:rPr>
                <w:rFonts w:cs="Arial"/>
                <w:bCs/>
                <w:sz w:val="18"/>
                <w:szCs w:val="18"/>
              </w:rPr>
              <w:t xml:space="preserve"> Lab, </w:t>
            </w:r>
            <w:r w:rsidR="009C6088">
              <w:rPr>
                <w:rFonts w:cs="Arial"/>
                <w:bCs/>
                <w:sz w:val="18"/>
                <w:szCs w:val="18"/>
              </w:rPr>
              <w:t xml:space="preserve">to </w:t>
            </w:r>
            <w:r w:rsidRPr="005D7F90">
              <w:rPr>
                <w:rFonts w:cs="Arial"/>
                <w:bCs/>
                <w:sz w:val="18"/>
                <w:szCs w:val="18"/>
              </w:rPr>
              <w:t xml:space="preserve">provide evidence-based policy recommendations on </w:t>
            </w:r>
            <w:r w:rsidR="009C6088">
              <w:rPr>
                <w:rFonts w:cs="Arial"/>
                <w:bCs/>
                <w:sz w:val="18"/>
                <w:szCs w:val="18"/>
              </w:rPr>
              <w:t xml:space="preserve">how </w:t>
            </w:r>
            <w:r w:rsidRPr="005D7F90">
              <w:rPr>
                <w:rFonts w:cs="Arial"/>
                <w:bCs/>
                <w:sz w:val="18"/>
                <w:szCs w:val="18"/>
              </w:rPr>
              <w:t>to best address adverse impacts of a weaker GEL on the economy.</w:t>
            </w:r>
          </w:p>
          <w:p w14:paraId="3D0CE2FE" w14:textId="77777777" w:rsidR="004E3ED8" w:rsidRPr="004E3ED8" w:rsidRDefault="004E3ED8" w:rsidP="004E3ED8">
            <w:pPr>
              <w:tabs>
                <w:tab w:val="left" w:pos="270"/>
              </w:tabs>
              <w:ind w:left="255" w:hanging="255"/>
              <w:rPr>
                <w:rFonts w:cs="Arial"/>
                <w:bCs/>
                <w:sz w:val="18"/>
                <w:szCs w:val="18"/>
              </w:rPr>
            </w:pPr>
            <w:r w:rsidRPr="004E3ED8">
              <w:rPr>
                <w:rFonts w:cs="Arial"/>
                <w:bCs/>
                <w:sz w:val="18"/>
                <w:szCs w:val="18"/>
              </w:rPr>
              <w:t>In the medium-term:</w:t>
            </w:r>
          </w:p>
          <w:p w14:paraId="326D071C" w14:textId="77777777" w:rsidR="004E3ED8" w:rsidRPr="004E3ED8" w:rsidRDefault="004E3ED8" w:rsidP="004E3ED8">
            <w:pPr>
              <w:tabs>
                <w:tab w:val="left" w:pos="270"/>
              </w:tabs>
              <w:ind w:left="255" w:hanging="255"/>
              <w:rPr>
                <w:rFonts w:cs="Arial"/>
                <w:bCs/>
                <w:sz w:val="18"/>
                <w:szCs w:val="18"/>
              </w:rPr>
            </w:pPr>
            <w:r w:rsidRPr="004E3ED8">
              <w:rPr>
                <w:rFonts w:cs="Arial"/>
                <w:bCs/>
                <w:sz w:val="18"/>
                <w:szCs w:val="18"/>
              </w:rPr>
              <w:t>•</w:t>
            </w:r>
            <w:r w:rsidRPr="004E3ED8">
              <w:rPr>
                <w:rFonts w:cs="Arial"/>
                <w:bCs/>
                <w:sz w:val="18"/>
                <w:szCs w:val="18"/>
              </w:rPr>
              <w:tab/>
              <w:t>Support Georgia’s ability to effectively identify and manage fiscal risks, including and especially those stemming from foreign exchange exposure of both general government debt and SOEs.</w:t>
            </w:r>
          </w:p>
          <w:p w14:paraId="02725D2A" w14:textId="1BB69909" w:rsidR="005D7F90" w:rsidRPr="005D7F90" w:rsidRDefault="004E3ED8" w:rsidP="00C11A0F">
            <w:pPr>
              <w:tabs>
                <w:tab w:val="left" w:pos="270"/>
              </w:tabs>
              <w:ind w:left="255" w:hanging="255"/>
              <w:rPr>
                <w:rFonts w:cs="Arial"/>
                <w:bCs/>
                <w:sz w:val="18"/>
                <w:szCs w:val="18"/>
              </w:rPr>
            </w:pPr>
            <w:r w:rsidRPr="004E3ED8">
              <w:rPr>
                <w:rFonts w:cs="Arial"/>
                <w:bCs/>
                <w:sz w:val="18"/>
                <w:szCs w:val="18"/>
              </w:rPr>
              <w:t>•</w:t>
            </w:r>
            <w:r w:rsidRPr="004E3ED8">
              <w:rPr>
                <w:rFonts w:cs="Arial"/>
                <w:bCs/>
                <w:sz w:val="18"/>
                <w:szCs w:val="18"/>
              </w:rPr>
              <w:tab/>
              <w:t>Support the government’s efforts under the Georgia 2020, to further development of a domestic debt market to ensure higher share of domestic debt and minimize foreign currency exposure.</w:t>
            </w:r>
          </w:p>
        </w:tc>
      </w:tr>
    </w:tbl>
    <w:p w14:paraId="079F5506" w14:textId="0860D2EC" w:rsidR="00054754" w:rsidRDefault="00C0283E" w:rsidP="00F93BBA">
      <w:pPr>
        <w:rPr>
          <w:rFonts w:cs="Arial"/>
          <w:sz w:val="18"/>
          <w:szCs w:val="18"/>
        </w:rPr>
      </w:pPr>
      <w:bookmarkStart w:id="21" w:name="_Hlk40301783"/>
      <w:r w:rsidRPr="00C0283E">
        <w:rPr>
          <w:rFonts w:cs="Arial"/>
          <w:sz w:val="18"/>
          <w:szCs w:val="18"/>
        </w:rPr>
        <w:t>Source: Asian Development Bank</w:t>
      </w:r>
      <w:bookmarkEnd w:id="21"/>
      <w:r w:rsidR="00827FAF">
        <w:rPr>
          <w:rFonts w:cs="Arial"/>
          <w:sz w:val="18"/>
          <w:szCs w:val="18"/>
        </w:rPr>
        <w:t>.</w:t>
      </w:r>
    </w:p>
    <w:p w14:paraId="6B6A1B1A" w14:textId="77777777" w:rsidR="001156C6" w:rsidRPr="00DF1238" w:rsidRDefault="001156C6" w:rsidP="00F93BBA">
      <w:pPr>
        <w:rPr>
          <w:rFonts w:cs="Arial"/>
          <w:sz w:val="18"/>
          <w:szCs w:val="18"/>
        </w:rPr>
      </w:pPr>
    </w:p>
    <w:p w14:paraId="2BA7CEB8" w14:textId="135D8778" w:rsidR="001156C6" w:rsidRDefault="00333873" w:rsidP="00E02AF8">
      <w:pPr>
        <w:pStyle w:val="Heading1"/>
        <w:ind w:left="0" w:firstLine="0"/>
      </w:pPr>
      <w:bookmarkStart w:id="22" w:name="_Toc49870251"/>
      <w:bookmarkStart w:id="23" w:name="_Toc2503813"/>
      <w:r>
        <w:t>Assurances</w:t>
      </w:r>
      <w:bookmarkEnd w:id="22"/>
      <w:r>
        <w:t xml:space="preserve"> </w:t>
      </w:r>
      <w:bookmarkEnd w:id="23"/>
    </w:p>
    <w:p w14:paraId="51E3BBC9" w14:textId="77777777" w:rsidR="00333873" w:rsidRPr="00D043F8" w:rsidRDefault="00333873" w:rsidP="00D043F8">
      <w:pPr>
        <w:keepNext/>
      </w:pPr>
    </w:p>
    <w:p w14:paraId="275BB7E1" w14:textId="4446BF8E" w:rsidR="001156C6" w:rsidRPr="00AC7546" w:rsidRDefault="70DB4919" w:rsidP="00AC7546">
      <w:pPr>
        <w:pStyle w:val="ListParagraph"/>
        <w:numPr>
          <w:ilvl w:val="0"/>
          <w:numId w:val="29"/>
        </w:numPr>
        <w:ind w:left="0" w:firstLine="0"/>
        <w:jc w:val="both"/>
        <w:rPr>
          <w:rFonts w:cs="Arial"/>
          <w:color w:val="FF0000"/>
        </w:rPr>
      </w:pPr>
      <w:r w:rsidRPr="3B262963">
        <w:rPr>
          <w:rFonts w:cs="Arial"/>
          <w:color w:val="000000" w:themeColor="text1"/>
        </w:rPr>
        <w:t xml:space="preserve">The government has assured ADB that implementation of the </w:t>
      </w:r>
      <w:r w:rsidR="2547CC99" w:rsidRPr="3B262963">
        <w:rPr>
          <w:rFonts w:cs="Arial"/>
          <w:color w:val="000000" w:themeColor="text1"/>
        </w:rPr>
        <w:t>Program</w:t>
      </w:r>
      <w:r w:rsidRPr="3B262963">
        <w:rPr>
          <w:rFonts w:cs="Arial"/>
          <w:color w:val="000000" w:themeColor="text1"/>
        </w:rPr>
        <w:t xml:space="preserve"> </w:t>
      </w:r>
      <w:r w:rsidR="66559B06" w:rsidRPr="3B262963">
        <w:rPr>
          <w:rFonts w:cs="Arial"/>
          <w:color w:val="000000" w:themeColor="text1"/>
        </w:rPr>
        <w:t xml:space="preserve">shall </w:t>
      </w:r>
      <w:r w:rsidRPr="3B262963">
        <w:rPr>
          <w:rFonts w:cs="Arial"/>
          <w:color w:val="000000" w:themeColor="text1"/>
        </w:rPr>
        <w:t>conform to all applicable ADB policies including those concerning anticorruption measures, safeguards, gender, procurement, consulting services, and disbursement as described in detail in the loan and grant agreements.</w:t>
      </w:r>
    </w:p>
    <w:p w14:paraId="51EC42EB" w14:textId="77777777" w:rsidR="009B1570" w:rsidRPr="005F7F4E" w:rsidRDefault="009B1570" w:rsidP="00D043F8">
      <w:pPr>
        <w:rPr>
          <w:color w:val="000000" w:themeColor="text1"/>
        </w:rPr>
      </w:pPr>
      <w:bookmarkStart w:id="24" w:name="_Toc251595598"/>
      <w:bookmarkStart w:id="25" w:name="_Toc2503817"/>
      <w:bookmarkStart w:id="26" w:name="_Toc246237726"/>
      <w:bookmarkEnd w:id="24"/>
    </w:p>
    <w:p w14:paraId="6FD01EEA" w14:textId="0F2745E0" w:rsidR="00B64EE0" w:rsidRDefault="00333873" w:rsidP="00E02AF8">
      <w:pPr>
        <w:pStyle w:val="Heading1"/>
        <w:ind w:left="0" w:firstLine="0"/>
      </w:pPr>
      <w:bookmarkStart w:id="27" w:name="_Toc49870252"/>
      <w:r>
        <w:t>Recommendation</w:t>
      </w:r>
      <w:bookmarkEnd w:id="25"/>
      <w:bookmarkEnd w:id="26"/>
      <w:bookmarkEnd w:id="27"/>
    </w:p>
    <w:p w14:paraId="37A8FDE9" w14:textId="77777777" w:rsidR="009D65B1" w:rsidRPr="00D043F8" w:rsidRDefault="009D65B1" w:rsidP="00D043F8">
      <w:pPr>
        <w:keepNext/>
      </w:pPr>
    </w:p>
    <w:p w14:paraId="6CC18F24" w14:textId="7249D47C" w:rsidR="00902000" w:rsidRDefault="77B00955" w:rsidP="00946354">
      <w:pPr>
        <w:pStyle w:val="ListParagraph"/>
        <w:numPr>
          <w:ilvl w:val="0"/>
          <w:numId w:val="29"/>
        </w:numPr>
        <w:spacing w:line="0" w:lineRule="atLeast"/>
        <w:ind w:left="0" w:firstLine="0"/>
        <w:jc w:val="both"/>
        <w:rPr>
          <w:rFonts w:cs="Arial"/>
        </w:rPr>
      </w:pPr>
      <w:r w:rsidRPr="3B262963">
        <w:rPr>
          <w:rFonts w:cs="Arial"/>
        </w:rPr>
        <w:t>I am satisfied that the proposed policy-based loan would comply with the Articles of Agreement of the Asian Development Bank (ADB) and recommend that the Board approve</w:t>
      </w:r>
      <w:r w:rsidR="00E1236C" w:rsidRPr="3B262963">
        <w:rPr>
          <w:rFonts w:cs="Arial"/>
        </w:rPr>
        <w:t xml:space="preserve"> (i)</w:t>
      </w:r>
      <w:r w:rsidR="00AC3845" w:rsidRPr="3B262963">
        <w:rPr>
          <w:rFonts w:cs="Arial"/>
        </w:rPr>
        <w:t xml:space="preserve"> the programmatic approach for the Fiscal Resilience and Social Protection Support Program, and (ii) the loan of $200,000,000 to Georgia for the Subprogram 1 of the Fiscal Resilience and Social Protection Support Program</w:t>
      </w:r>
      <w:r w:rsidRPr="3B262963">
        <w:rPr>
          <w:rFonts w:cs="Arial"/>
        </w:rPr>
        <w:t xml:space="preserve"> from ADB’s ordinary capital resources on regular terms, with interest </w:t>
      </w:r>
      <w:r w:rsidRPr="3B262963">
        <w:rPr>
          <w:rFonts w:cs="Arial"/>
        </w:rPr>
        <w:lastRenderedPageBreak/>
        <w:t xml:space="preserve">to be determined in accordance with ADB’s London interbank offered rate (LIBOR)-based lending facility; for a </w:t>
      </w:r>
      <w:r w:rsidR="00AC3845" w:rsidRPr="3B262963">
        <w:rPr>
          <w:rFonts w:cs="Arial"/>
        </w:rPr>
        <w:t>term</w:t>
      </w:r>
      <w:r w:rsidRPr="3B262963">
        <w:rPr>
          <w:rFonts w:cs="Arial"/>
        </w:rPr>
        <w:t xml:space="preserve"> of 10 years, including a grace period of 3 years; and such other terms and conditions as are substantially in accordance with those set forth in the draft loan agreement presented to the Board.  </w:t>
      </w:r>
    </w:p>
    <w:p w14:paraId="1EB9C61E" w14:textId="339D8C2C" w:rsidR="00813024" w:rsidRPr="0003721E" w:rsidRDefault="00813024" w:rsidP="00697A15">
      <w:pPr>
        <w:jc w:val="right"/>
        <w:rPr>
          <w:rFonts w:cs="Arial"/>
        </w:rPr>
      </w:pPr>
      <w:r w:rsidRPr="0003721E">
        <w:rPr>
          <w:rFonts w:cs="Arial"/>
          <w:color w:val="222222"/>
          <w:shd w:val="clear" w:color="auto" w:fill="FFFFFF"/>
        </w:rPr>
        <w:t>Masatsugu Asakawa</w:t>
      </w:r>
    </w:p>
    <w:p w14:paraId="57F23EDE" w14:textId="46246BE2" w:rsidR="00813024" w:rsidRPr="0003721E" w:rsidRDefault="006C7661" w:rsidP="00813024">
      <w:pPr>
        <w:rPr>
          <w:rFonts w:cs="Arial"/>
          <w:color w:val="FF0000"/>
        </w:rPr>
      </w:pPr>
      <w:r>
        <w:rPr>
          <w:rFonts w:cs="Arial"/>
          <w:color w:val="000000" w:themeColor="text1"/>
        </w:rPr>
        <w:t>October</w:t>
      </w:r>
      <w:r w:rsidR="00813024" w:rsidRPr="0003721E">
        <w:rPr>
          <w:rFonts w:cs="Arial"/>
          <w:color w:val="000000" w:themeColor="text1"/>
        </w:rPr>
        <w:t xml:space="preserve"> 2020</w:t>
      </w:r>
      <w:r w:rsidR="00813024" w:rsidRPr="0003721E">
        <w:rPr>
          <w:rFonts w:cs="Arial"/>
          <w:color w:val="FF0000"/>
        </w:rPr>
        <w:tab/>
      </w:r>
      <w:r w:rsidR="00813024" w:rsidRPr="0003721E">
        <w:rPr>
          <w:rFonts w:cs="Arial"/>
          <w:color w:val="FF0000"/>
        </w:rPr>
        <w:tab/>
      </w:r>
      <w:r w:rsidR="00813024" w:rsidRPr="0003721E">
        <w:rPr>
          <w:rFonts w:cs="Arial"/>
          <w:color w:val="FF0000"/>
        </w:rPr>
        <w:tab/>
      </w:r>
      <w:r w:rsidR="00813024" w:rsidRPr="0003721E">
        <w:rPr>
          <w:rFonts w:cs="Arial"/>
          <w:color w:val="FF0000"/>
        </w:rPr>
        <w:tab/>
      </w:r>
      <w:r w:rsidR="00813024" w:rsidRPr="0003721E">
        <w:rPr>
          <w:rFonts w:cs="Arial"/>
          <w:color w:val="FF0000"/>
        </w:rPr>
        <w:tab/>
      </w:r>
      <w:r w:rsidR="00813024" w:rsidRPr="0003721E">
        <w:rPr>
          <w:rFonts w:cs="Arial"/>
          <w:color w:val="FF0000"/>
        </w:rPr>
        <w:tab/>
      </w:r>
      <w:r w:rsidR="00813024" w:rsidRPr="0003721E">
        <w:rPr>
          <w:rFonts w:cs="Arial"/>
          <w:color w:val="FF0000"/>
        </w:rPr>
        <w:tab/>
      </w:r>
      <w:r w:rsidR="00813024" w:rsidRPr="0003721E">
        <w:rPr>
          <w:rFonts w:cs="Arial"/>
          <w:color w:val="FF0000"/>
        </w:rPr>
        <w:tab/>
      </w:r>
      <w:r w:rsidR="00813024" w:rsidRPr="0003721E">
        <w:rPr>
          <w:rFonts w:cs="Arial"/>
          <w:color w:val="FF0000"/>
        </w:rPr>
        <w:tab/>
        <w:t xml:space="preserve">  </w:t>
      </w:r>
      <w:r w:rsidR="00813024" w:rsidRPr="0003721E">
        <w:rPr>
          <w:rFonts w:cs="Arial"/>
          <w:color w:val="000000"/>
        </w:rPr>
        <w:t>President</w:t>
      </w:r>
    </w:p>
    <w:p w14:paraId="0362BFEA" w14:textId="77777777" w:rsidR="00813024" w:rsidRPr="0003721E" w:rsidRDefault="00813024" w:rsidP="00813024">
      <w:pPr>
        <w:rPr>
          <w:rFonts w:cs="Arial"/>
          <w:color w:val="9BBB59" w:themeColor="accent3"/>
        </w:rPr>
        <w:sectPr w:rsidR="00813024" w:rsidRPr="0003721E" w:rsidSect="006E3044">
          <w:headerReference w:type="even" r:id="rId25"/>
          <w:headerReference w:type="default" r:id="rId26"/>
          <w:headerReference w:type="first" r:id="rId27"/>
          <w:footnotePr>
            <w:numRestart w:val="eachSect"/>
          </w:footnotePr>
          <w:endnotePr>
            <w:numRestart w:val="eachSect"/>
          </w:endnotePr>
          <w:pgSz w:w="12240" w:h="15840" w:code="1"/>
          <w:pgMar w:top="1440" w:right="1440" w:bottom="1440" w:left="1440" w:header="720" w:footer="720" w:gutter="0"/>
          <w:pgNumType w:start="1"/>
          <w:cols w:space="720"/>
          <w:titlePg/>
          <w:docGrid w:linePitch="326"/>
        </w:sectPr>
      </w:pPr>
    </w:p>
    <w:p w14:paraId="7FB372C5" w14:textId="77777777" w:rsidR="00531A50" w:rsidRPr="00902000" w:rsidRDefault="00531A50" w:rsidP="00F93BBA">
      <w:pPr>
        <w:ind w:left="6390"/>
        <w:jc w:val="left"/>
        <w:rPr>
          <w:color w:val="FF0000"/>
        </w:rPr>
      </w:pPr>
    </w:p>
    <w:p w14:paraId="4D786D92" w14:textId="628133C2" w:rsidR="00762D3E" w:rsidRPr="00D043F8" w:rsidRDefault="00C240FC" w:rsidP="00D043F8">
      <w:pPr>
        <w:pStyle w:val="Appendix"/>
      </w:pPr>
      <w:bookmarkStart w:id="28" w:name="_Toc49870253"/>
      <w:bookmarkStart w:id="29" w:name="_Toc246237727"/>
      <w:r w:rsidRPr="00D043F8">
        <w:t xml:space="preserve">Design </w:t>
      </w:r>
      <w:r>
        <w:t>a</w:t>
      </w:r>
      <w:r w:rsidRPr="00D043F8">
        <w:t>nd Monitoring Framework</w:t>
      </w:r>
      <w:bookmarkEnd w:id="28"/>
    </w:p>
    <w:p w14:paraId="0262FB1E" w14:textId="6944B0EC" w:rsidR="00762D3E" w:rsidRPr="0003721E" w:rsidRDefault="00762D3E" w:rsidP="00AC2EB0">
      <w:pPr>
        <w:pStyle w:val="Appendix"/>
      </w:pPr>
    </w:p>
    <w:tbl>
      <w:tblPr>
        <w:tblW w:w="5000" w:type="pct"/>
        <w:jc w:val="center"/>
        <w:tblBorders>
          <w:top w:val="single" w:sz="4" w:space="0" w:color="auto"/>
          <w:left w:val="single" w:sz="4" w:space="0" w:color="auto"/>
          <w:bottom w:val="single" w:sz="4" w:space="0" w:color="auto"/>
          <w:right w:val="single" w:sz="4" w:space="0" w:color="auto"/>
        </w:tblBorders>
        <w:tblLayout w:type="fixed"/>
        <w:tblCellMar>
          <w:left w:w="115" w:type="dxa"/>
          <w:right w:w="115" w:type="dxa"/>
        </w:tblCellMar>
        <w:tblLook w:val="04A0" w:firstRow="1" w:lastRow="0" w:firstColumn="1" w:lastColumn="0" w:noHBand="0" w:noVBand="1"/>
      </w:tblPr>
      <w:tblGrid>
        <w:gridCol w:w="9350"/>
      </w:tblGrid>
      <w:tr w:rsidR="00762D3E" w:rsidRPr="0003721E" w14:paraId="3291F3A0" w14:textId="77777777" w:rsidTr="00DA11CF">
        <w:trPr>
          <w:jc w:val="center"/>
        </w:trPr>
        <w:tc>
          <w:tcPr>
            <w:tcW w:w="9350" w:type="dxa"/>
          </w:tcPr>
          <w:p w14:paraId="2A485995" w14:textId="22C85E32" w:rsidR="00762D3E" w:rsidRPr="00C4304F" w:rsidRDefault="00DE5F14" w:rsidP="00DA11CF">
            <w:pPr>
              <w:autoSpaceDE w:val="0"/>
              <w:autoSpaceDN w:val="0"/>
              <w:adjustRightInd w:val="0"/>
              <w:rPr>
                <w:rFonts w:cs="Arial"/>
                <w:b/>
                <w:color w:val="000000" w:themeColor="text1"/>
                <w:sz w:val="18"/>
                <w:szCs w:val="18"/>
              </w:rPr>
            </w:pPr>
            <w:r w:rsidRPr="00C4304F">
              <w:rPr>
                <w:rFonts w:cs="Arial"/>
                <w:b/>
                <w:color w:val="000000" w:themeColor="text1"/>
                <w:sz w:val="18"/>
                <w:szCs w:val="18"/>
              </w:rPr>
              <w:t>Overarching Development Objective:</w:t>
            </w:r>
          </w:p>
          <w:p w14:paraId="34A17F00" w14:textId="55C9AF1C" w:rsidR="00762D3E" w:rsidRPr="00C4304F" w:rsidRDefault="004A58B7" w:rsidP="00DA11CF">
            <w:pPr>
              <w:rPr>
                <w:rFonts w:cs="Arial"/>
                <w:sz w:val="18"/>
                <w:szCs w:val="18"/>
              </w:rPr>
            </w:pPr>
            <w:r w:rsidRPr="00C4304F">
              <w:rPr>
                <w:rFonts w:cs="Arial"/>
                <w:sz w:val="18"/>
                <w:szCs w:val="18"/>
              </w:rPr>
              <w:t>Inclusive economic recovery from the COVID-19 crisis</w:t>
            </w:r>
            <w:r w:rsidR="003B42E3" w:rsidRPr="00C4304F">
              <w:rPr>
                <w:rFonts w:cs="Arial"/>
                <w:sz w:val="18"/>
                <w:szCs w:val="18"/>
                <w:vertAlign w:val="superscript"/>
              </w:rPr>
              <w:t>a</w:t>
            </w:r>
          </w:p>
        </w:tc>
      </w:tr>
    </w:tbl>
    <w:p w14:paraId="243C05B0" w14:textId="1532D1CA" w:rsidR="00762D3E" w:rsidRPr="00C4304F" w:rsidRDefault="00762D3E" w:rsidP="00762D3E">
      <w:pPr>
        <w:rPr>
          <w:rFonts w:eastAsiaTheme="minorEastAsia" w:cs="Arial"/>
          <w:b/>
          <w:color w:val="000000" w:themeColor="text1"/>
          <w:sz w:val="18"/>
          <w:szCs w:val="18"/>
        </w:rPr>
      </w:pPr>
    </w:p>
    <w:tbl>
      <w:tblPr>
        <w:tblStyle w:val="TableGrid"/>
        <w:tblW w:w="9335" w:type="dxa"/>
        <w:tblLook w:val="04A0" w:firstRow="1" w:lastRow="0" w:firstColumn="1" w:lastColumn="0" w:noHBand="0" w:noVBand="1"/>
      </w:tblPr>
      <w:tblGrid>
        <w:gridCol w:w="2155"/>
        <w:gridCol w:w="3780"/>
        <w:gridCol w:w="1605"/>
        <w:gridCol w:w="1795"/>
      </w:tblGrid>
      <w:tr w:rsidR="00977AFF" w:rsidRPr="008F7BA7" w14:paraId="43DB3EA0" w14:textId="77777777" w:rsidTr="00C4304F">
        <w:tc>
          <w:tcPr>
            <w:tcW w:w="2155" w:type="dxa"/>
          </w:tcPr>
          <w:p w14:paraId="5A3D6D6C" w14:textId="3CBE0016" w:rsidR="00694040" w:rsidRPr="00C4304F" w:rsidRDefault="00694040" w:rsidP="00694040">
            <w:pPr>
              <w:jc w:val="center"/>
              <w:rPr>
                <w:rFonts w:eastAsiaTheme="minorEastAsia" w:cs="Arial"/>
                <w:b/>
                <w:color w:val="000000" w:themeColor="text1"/>
                <w:sz w:val="18"/>
                <w:szCs w:val="18"/>
              </w:rPr>
            </w:pPr>
            <w:r w:rsidRPr="00C4304F">
              <w:rPr>
                <w:rFonts w:eastAsiaTheme="minorEastAsia" w:cs="Arial"/>
                <w:b/>
                <w:color w:val="000000" w:themeColor="text1"/>
                <w:sz w:val="18"/>
                <w:szCs w:val="18"/>
              </w:rPr>
              <w:t>Results Chain</w:t>
            </w:r>
          </w:p>
        </w:tc>
        <w:tc>
          <w:tcPr>
            <w:tcW w:w="3780" w:type="dxa"/>
          </w:tcPr>
          <w:p w14:paraId="019BB124" w14:textId="1FE91E14" w:rsidR="00694040" w:rsidRPr="00C4304F" w:rsidRDefault="00694040" w:rsidP="00694040">
            <w:pPr>
              <w:jc w:val="center"/>
              <w:rPr>
                <w:rFonts w:eastAsiaTheme="minorEastAsia" w:cs="Arial"/>
                <w:b/>
                <w:color w:val="000000" w:themeColor="text1"/>
                <w:sz w:val="18"/>
                <w:szCs w:val="18"/>
              </w:rPr>
            </w:pPr>
            <w:r w:rsidRPr="00C4304F">
              <w:rPr>
                <w:rFonts w:eastAsiaTheme="minorEastAsia" w:cs="Arial"/>
                <w:b/>
                <w:color w:val="000000" w:themeColor="text1"/>
                <w:sz w:val="18"/>
                <w:szCs w:val="18"/>
              </w:rPr>
              <w:t>Performance Indicators with Targets and Baselines</w:t>
            </w:r>
          </w:p>
        </w:tc>
        <w:tc>
          <w:tcPr>
            <w:tcW w:w="0" w:type="auto"/>
          </w:tcPr>
          <w:p w14:paraId="4CE76195" w14:textId="17193EDC" w:rsidR="00694040" w:rsidRPr="00C4304F" w:rsidRDefault="00694040" w:rsidP="00694040">
            <w:pPr>
              <w:jc w:val="center"/>
              <w:rPr>
                <w:rFonts w:eastAsiaTheme="minorEastAsia" w:cs="Arial"/>
                <w:b/>
                <w:color w:val="000000" w:themeColor="text1"/>
                <w:sz w:val="18"/>
                <w:szCs w:val="18"/>
              </w:rPr>
            </w:pPr>
            <w:r w:rsidRPr="00C4304F">
              <w:rPr>
                <w:rFonts w:eastAsiaTheme="minorEastAsia" w:cs="Arial"/>
                <w:b/>
                <w:color w:val="000000" w:themeColor="text1"/>
                <w:sz w:val="18"/>
                <w:szCs w:val="18"/>
              </w:rPr>
              <w:t>Data Sources and Reporting Mechanisms</w:t>
            </w:r>
          </w:p>
        </w:tc>
        <w:tc>
          <w:tcPr>
            <w:tcW w:w="1795" w:type="dxa"/>
          </w:tcPr>
          <w:p w14:paraId="6397711D" w14:textId="18F638E7" w:rsidR="00694040" w:rsidRPr="00C4304F" w:rsidRDefault="00694040" w:rsidP="00694040">
            <w:pPr>
              <w:jc w:val="center"/>
              <w:rPr>
                <w:rFonts w:eastAsiaTheme="minorEastAsia" w:cs="Arial"/>
                <w:b/>
                <w:color w:val="000000" w:themeColor="text1"/>
                <w:sz w:val="18"/>
                <w:szCs w:val="18"/>
              </w:rPr>
            </w:pPr>
            <w:r w:rsidRPr="00C4304F">
              <w:rPr>
                <w:rFonts w:eastAsiaTheme="minorEastAsia" w:cs="Arial"/>
                <w:b/>
                <w:color w:val="000000" w:themeColor="text1"/>
                <w:sz w:val="18"/>
                <w:szCs w:val="18"/>
              </w:rPr>
              <w:t>Risks</w:t>
            </w:r>
          </w:p>
        </w:tc>
      </w:tr>
      <w:tr w:rsidR="00977AFF" w:rsidRPr="008F7BA7" w14:paraId="512183D1" w14:textId="77777777" w:rsidTr="00C4304F">
        <w:tc>
          <w:tcPr>
            <w:tcW w:w="2155" w:type="dxa"/>
          </w:tcPr>
          <w:p w14:paraId="61956E9D" w14:textId="77777777" w:rsidR="00694040" w:rsidRPr="00C4304F" w:rsidRDefault="00694040" w:rsidP="00C4304F">
            <w:pPr>
              <w:jc w:val="left"/>
              <w:rPr>
                <w:rFonts w:cs="Arial"/>
                <w:b/>
                <w:sz w:val="18"/>
                <w:szCs w:val="18"/>
              </w:rPr>
            </w:pPr>
            <w:r w:rsidRPr="00C4304F">
              <w:rPr>
                <w:rFonts w:cs="Arial"/>
                <w:b/>
                <w:sz w:val="18"/>
                <w:szCs w:val="18"/>
              </w:rPr>
              <w:t>Effect of the Reform:</w:t>
            </w:r>
          </w:p>
          <w:p w14:paraId="4CFE58D7" w14:textId="79241A0C" w:rsidR="00694040" w:rsidRPr="00C4304F" w:rsidRDefault="133BFBFB" w:rsidP="00C4304F">
            <w:pPr>
              <w:jc w:val="left"/>
              <w:rPr>
                <w:rFonts w:eastAsiaTheme="minorEastAsia" w:cs="Arial"/>
                <w:b/>
                <w:color w:val="000000" w:themeColor="text1"/>
                <w:sz w:val="18"/>
                <w:szCs w:val="18"/>
              </w:rPr>
            </w:pPr>
            <w:r w:rsidRPr="00C4304F">
              <w:rPr>
                <w:rFonts w:cs="Arial"/>
                <w:sz w:val="18"/>
                <w:szCs w:val="18"/>
              </w:rPr>
              <w:t>More e</w:t>
            </w:r>
            <w:r w:rsidR="00694040" w:rsidRPr="00C4304F">
              <w:rPr>
                <w:rFonts w:cs="Arial"/>
                <w:sz w:val="18"/>
                <w:szCs w:val="18"/>
              </w:rPr>
              <w:t>ffective management of risk exposure by the public sector and enhanced</w:t>
            </w:r>
            <w:r w:rsidR="00432C7B" w:rsidRPr="00C4304F">
              <w:rPr>
                <w:rFonts w:cs="Arial"/>
                <w:sz w:val="18"/>
                <w:szCs w:val="18"/>
              </w:rPr>
              <w:t xml:space="preserve"> and fiscally responsible</w:t>
            </w:r>
            <w:r w:rsidR="00694040" w:rsidRPr="00C4304F">
              <w:rPr>
                <w:rFonts w:cs="Arial"/>
                <w:sz w:val="18"/>
                <w:szCs w:val="18"/>
              </w:rPr>
              <w:t xml:space="preserve"> social protection of vulnerable people.  </w:t>
            </w:r>
          </w:p>
        </w:tc>
        <w:tc>
          <w:tcPr>
            <w:tcW w:w="3780" w:type="dxa"/>
          </w:tcPr>
          <w:p w14:paraId="77493004" w14:textId="308821CB" w:rsidR="00694040" w:rsidRPr="00C4304F" w:rsidRDefault="00694040" w:rsidP="00C4304F">
            <w:pPr>
              <w:jc w:val="left"/>
              <w:rPr>
                <w:rFonts w:eastAsiaTheme="minorEastAsia" w:cs="Arial"/>
                <w:color w:val="000000" w:themeColor="text1"/>
                <w:sz w:val="18"/>
                <w:szCs w:val="18"/>
              </w:rPr>
            </w:pPr>
            <w:r w:rsidRPr="00C4304F">
              <w:rPr>
                <w:rFonts w:eastAsiaTheme="minorEastAsia" w:cs="Arial"/>
                <w:color w:val="000000" w:themeColor="text1"/>
                <w:sz w:val="18"/>
                <w:szCs w:val="18"/>
              </w:rPr>
              <w:t xml:space="preserve">By </w:t>
            </w:r>
            <w:r w:rsidR="00B11987" w:rsidRPr="00C4304F">
              <w:rPr>
                <w:rFonts w:eastAsiaTheme="minorEastAsia" w:cs="Arial"/>
                <w:color w:val="000000" w:themeColor="text1"/>
                <w:sz w:val="18"/>
                <w:szCs w:val="18"/>
              </w:rPr>
              <w:t>October</w:t>
            </w:r>
            <w:r w:rsidRPr="00C4304F">
              <w:rPr>
                <w:rFonts w:eastAsiaTheme="minorEastAsia" w:cs="Arial"/>
                <w:color w:val="000000" w:themeColor="text1"/>
                <w:sz w:val="18"/>
                <w:szCs w:val="18"/>
              </w:rPr>
              <w:t xml:space="preserve"> 202</w:t>
            </w:r>
            <w:r w:rsidR="00B11987" w:rsidRPr="00C4304F">
              <w:rPr>
                <w:rFonts w:eastAsiaTheme="minorEastAsia" w:cs="Arial"/>
                <w:color w:val="000000" w:themeColor="text1"/>
                <w:sz w:val="18"/>
                <w:szCs w:val="18"/>
              </w:rPr>
              <w:t>2</w:t>
            </w:r>
            <w:r w:rsidRPr="00C4304F">
              <w:rPr>
                <w:rFonts w:eastAsiaTheme="minorEastAsia" w:cs="Arial"/>
                <w:color w:val="000000" w:themeColor="text1"/>
                <w:sz w:val="18"/>
                <w:szCs w:val="18"/>
              </w:rPr>
              <w:t xml:space="preserve">, </w:t>
            </w:r>
          </w:p>
          <w:p w14:paraId="72B95A89" w14:textId="45145906" w:rsidR="00694040" w:rsidRPr="00C4304F" w:rsidRDefault="00694040" w:rsidP="00C4304F">
            <w:pPr>
              <w:jc w:val="left"/>
              <w:rPr>
                <w:rFonts w:eastAsiaTheme="minorEastAsia" w:cs="Arial"/>
                <w:color w:val="000000" w:themeColor="text1"/>
                <w:sz w:val="18"/>
                <w:szCs w:val="18"/>
              </w:rPr>
            </w:pPr>
            <w:r w:rsidRPr="00C4304F">
              <w:rPr>
                <w:rFonts w:eastAsiaTheme="minorEastAsia" w:cs="Arial"/>
                <w:color w:val="000000" w:themeColor="text1"/>
                <w:sz w:val="18"/>
                <w:szCs w:val="18"/>
              </w:rPr>
              <w:t xml:space="preserve">Public debt to GDP ratio is </w:t>
            </w:r>
            <w:r w:rsidR="00E7466E" w:rsidRPr="00C4304F">
              <w:rPr>
                <w:rFonts w:eastAsiaTheme="minorEastAsia" w:cs="Arial"/>
                <w:color w:val="000000" w:themeColor="text1"/>
                <w:sz w:val="18"/>
                <w:szCs w:val="18"/>
              </w:rPr>
              <w:t xml:space="preserve">brought </w:t>
            </w:r>
            <w:r w:rsidRPr="00C4304F">
              <w:rPr>
                <w:rFonts w:eastAsiaTheme="minorEastAsia" w:cs="Arial"/>
                <w:color w:val="000000" w:themeColor="text1"/>
                <w:sz w:val="18"/>
                <w:szCs w:val="18"/>
              </w:rPr>
              <w:t>below the 60% ceiling specified in the Economic Liberty Act. (</w:t>
            </w:r>
            <w:r w:rsidR="003B3878" w:rsidRPr="00C4304F">
              <w:rPr>
                <w:rFonts w:eastAsiaTheme="minorEastAsia" w:cs="Arial"/>
                <w:color w:val="000000" w:themeColor="text1"/>
                <w:sz w:val="18"/>
                <w:szCs w:val="18"/>
              </w:rPr>
              <w:t xml:space="preserve">May </w:t>
            </w:r>
            <w:r w:rsidRPr="00C4304F">
              <w:rPr>
                <w:rFonts w:eastAsiaTheme="minorEastAsia" w:cs="Arial"/>
                <w:color w:val="000000" w:themeColor="text1"/>
                <w:sz w:val="18"/>
                <w:szCs w:val="18"/>
              </w:rPr>
              <w:t xml:space="preserve">2020 baseline: </w:t>
            </w:r>
            <w:r w:rsidR="00E7466E" w:rsidRPr="00C4304F">
              <w:rPr>
                <w:rFonts w:eastAsiaTheme="minorEastAsia" w:cs="Arial"/>
                <w:color w:val="000000" w:themeColor="text1"/>
                <w:sz w:val="18"/>
                <w:szCs w:val="18"/>
              </w:rPr>
              <w:t>62</w:t>
            </w:r>
            <w:r w:rsidR="00666C91" w:rsidRPr="00C4304F">
              <w:rPr>
                <w:rFonts w:eastAsiaTheme="minorEastAsia" w:cs="Arial"/>
                <w:color w:val="000000" w:themeColor="text1"/>
                <w:sz w:val="18"/>
                <w:szCs w:val="18"/>
              </w:rPr>
              <w:t>.</w:t>
            </w:r>
            <w:r w:rsidR="00E7466E" w:rsidRPr="00C4304F">
              <w:rPr>
                <w:rFonts w:eastAsiaTheme="minorEastAsia" w:cs="Arial"/>
                <w:color w:val="000000" w:themeColor="text1"/>
                <w:sz w:val="18"/>
                <w:szCs w:val="18"/>
              </w:rPr>
              <w:t>8</w:t>
            </w:r>
            <w:r w:rsidR="00666C91" w:rsidRPr="00C4304F">
              <w:rPr>
                <w:rFonts w:eastAsiaTheme="minorEastAsia" w:cs="Arial"/>
                <w:color w:val="000000" w:themeColor="text1"/>
                <w:sz w:val="18"/>
                <w:szCs w:val="18"/>
              </w:rPr>
              <w:t>%</w:t>
            </w:r>
            <w:r w:rsidR="00A10A6F" w:rsidRPr="00C4304F">
              <w:rPr>
                <w:rFonts w:eastAsiaTheme="minorEastAsia" w:cs="Arial"/>
                <w:color w:val="000000" w:themeColor="text1"/>
                <w:sz w:val="18"/>
                <w:szCs w:val="18"/>
              </w:rPr>
              <w:t xml:space="preserve"> of GDP</w:t>
            </w:r>
            <w:r w:rsidRPr="00C4304F">
              <w:rPr>
                <w:rFonts w:eastAsiaTheme="minorEastAsia" w:cs="Arial"/>
                <w:color w:val="000000" w:themeColor="text1"/>
                <w:sz w:val="18"/>
                <w:szCs w:val="18"/>
              </w:rPr>
              <w:t xml:space="preserve">)  </w:t>
            </w:r>
          </w:p>
          <w:p w14:paraId="4BD33CE5" w14:textId="77777777" w:rsidR="00694040" w:rsidRPr="00C4304F" w:rsidRDefault="00694040" w:rsidP="00C4304F">
            <w:pPr>
              <w:jc w:val="left"/>
              <w:rPr>
                <w:rFonts w:eastAsiaTheme="minorEastAsia" w:cs="Arial"/>
                <w:color w:val="000000" w:themeColor="text1"/>
                <w:sz w:val="18"/>
                <w:szCs w:val="18"/>
              </w:rPr>
            </w:pPr>
          </w:p>
          <w:p w14:paraId="01D3F23D" w14:textId="128778E5" w:rsidR="00694040" w:rsidRPr="00C4304F" w:rsidRDefault="00694040" w:rsidP="00C4304F">
            <w:pPr>
              <w:jc w:val="left"/>
              <w:rPr>
                <w:rFonts w:cs="Arial"/>
                <w:sz w:val="18"/>
                <w:szCs w:val="18"/>
              </w:rPr>
            </w:pPr>
            <w:r w:rsidRPr="00C4304F">
              <w:rPr>
                <w:rFonts w:cs="Arial"/>
                <w:sz w:val="18"/>
                <w:szCs w:val="18"/>
              </w:rPr>
              <w:t xml:space="preserve">Share of </w:t>
            </w:r>
            <w:r w:rsidR="001C7D60" w:rsidRPr="00C4304F">
              <w:rPr>
                <w:rFonts w:cs="Arial"/>
                <w:sz w:val="18"/>
                <w:szCs w:val="18"/>
              </w:rPr>
              <w:t>domestic</w:t>
            </w:r>
            <w:r w:rsidRPr="00C4304F">
              <w:rPr>
                <w:rFonts w:cs="Arial"/>
                <w:sz w:val="18"/>
                <w:szCs w:val="18"/>
              </w:rPr>
              <w:t xml:space="preserve"> debt </w:t>
            </w:r>
            <w:r w:rsidR="001C7D60" w:rsidRPr="00C4304F">
              <w:rPr>
                <w:rFonts w:cs="Arial"/>
                <w:sz w:val="18"/>
                <w:szCs w:val="18"/>
              </w:rPr>
              <w:t>increased</w:t>
            </w:r>
            <w:r w:rsidRPr="00C4304F">
              <w:rPr>
                <w:rFonts w:cs="Arial"/>
                <w:sz w:val="18"/>
                <w:szCs w:val="18"/>
              </w:rPr>
              <w:t xml:space="preserve"> to at least </w:t>
            </w:r>
            <w:r w:rsidR="001C7D60" w:rsidRPr="00C4304F">
              <w:rPr>
                <w:rFonts w:cs="Arial"/>
                <w:sz w:val="18"/>
                <w:szCs w:val="18"/>
              </w:rPr>
              <w:t>2</w:t>
            </w:r>
            <w:r w:rsidRPr="00C4304F">
              <w:rPr>
                <w:rFonts w:cs="Arial"/>
                <w:sz w:val="18"/>
                <w:szCs w:val="18"/>
              </w:rPr>
              <w:t xml:space="preserve">5% </w:t>
            </w:r>
            <w:r w:rsidR="001C7D60" w:rsidRPr="00C4304F">
              <w:rPr>
                <w:rFonts w:cs="Arial"/>
                <w:sz w:val="18"/>
                <w:szCs w:val="18"/>
              </w:rPr>
              <w:t>of total Government Debt</w:t>
            </w:r>
            <w:r w:rsidRPr="00C4304F">
              <w:rPr>
                <w:rFonts w:cs="Arial"/>
                <w:sz w:val="18"/>
                <w:szCs w:val="18"/>
              </w:rPr>
              <w:t xml:space="preserve">. </w:t>
            </w:r>
            <w:r w:rsidR="00A10A6F" w:rsidRPr="00C4304F">
              <w:rPr>
                <w:rFonts w:cs="Arial"/>
                <w:sz w:val="18"/>
                <w:szCs w:val="18"/>
              </w:rPr>
              <w:t>(20</w:t>
            </w:r>
            <w:r w:rsidR="001C7D60" w:rsidRPr="00C4304F">
              <w:rPr>
                <w:rFonts w:cs="Arial"/>
                <w:sz w:val="18"/>
                <w:szCs w:val="18"/>
              </w:rPr>
              <w:t>18</w:t>
            </w:r>
            <w:r w:rsidR="00A10A6F" w:rsidRPr="00C4304F">
              <w:rPr>
                <w:rFonts w:cs="Arial"/>
                <w:sz w:val="18"/>
                <w:szCs w:val="18"/>
              </w:rPr>
              <w:t xml:space="preserve"> baseline: </w:t>
            </w:r>
            <w:r w:rsidR="001C7D60" w:rsidRPr="00C4304F">
              <w:rPr>
                <w:rFonts w:cs="Arial"/>
                <w:sz w:val="18"/>
                <w:szCs w:val="18"/>
              </w:rPr>
              <w:t>18.7</w:t>
            </w:r>
            <w:r w:rsidR="00A10A6F" w:rsidRPr="00C4304F">
              <w:rPr>
                <w:rFonts w:cs="Arial"/>
                <w:sz w:val="18"/>
                <w:szCs w:val="18"/>
              </w:rPr>
              <w:t>%)</w:t>
            </w:r>
          </w:p>
          <w:p w14:paraId="3B00C7DB" w14:textId="77777777" w:rsidR="00694040" w:rsidRPr="00C4304F" w:rsidRDefault="00694040" w:rsidP="00C4304F">
            <w:pPr>
              <w:jc w:val="left"/>
              <w:rPr>
                <w:rFonts w:cs="Arial"/>
                <w:sz w:val="18"/>
                <w:szCs w:val="18"/>
              </w:rPr>
            </w:pPr>
          </w:p>
          <w:p w14:paraId="68E4ABF1" w14:textId="0A5B4975" w:rsidR="00793F75" w:rsidRPr="00C4304F" w:rsidRDefault="00AB7B5E" w:rsidP="00C4304F">
            <w:pPr>
              <w:jc w:val="left"/>
              <w:rPr>
                <w:rFonts w:cs="Arial"/>
                <w:sz w:val="18"/>
                <w:szCs w:val="18"/>
              </w:rPr>
            </w:pPr>
            <w:r w:rsidRPr="00C4304F">
              <w:rPr>
                <w:rFonts w:cs="Arial"/>
                <w:sz w:val="18"/>
                <w:szCs w:val="18"/>
              </w:rPr>
              <w:t>Share of total</w:t>
            </w:r>
            <w:r w:rsidR="00D73E6E" w:rsidRPr="00C4304F">
              <w:rPr>
                <w:rFonts w:cs="Arial"/>
                <w:sz w:val="18"/>
                <w:szCs w:val="18"/>
              </w:rPr>
              <w:t xml:space="preserve"> employees </w:t>
            </w:r>
            <w:r w:rsidR="00511603" w:rsidRPr="00C4304F">
              <w:rPr>
                <w:rFonts w:cs="Arial"/>
                <w:sz w:val="18"/>
                <w:szCs w:val="18"/>
              </w:rPr>
              <w:t xml:space="preserve">(hired and self employed) </w:t>
            </w:r>
            <w:r w:rsidR="00D73E6E" w:rsidRPr="00C4304F">
              <w:rPr>
                <w:rFonts w:cs="Arial"/>
                <w:sz w:val="18"/>
                <w:szCs w:val="18"/>
              </w:rPr>
              <w:t xml:space="preserve">registered in the contributory pension scheme increases to at least </w:t>
            </w:r>
            <w:r w:rsidR="00B11987" w:rsidRPr="00C4304F">
              <w:rPr>
                <w:rFonts w:cs="Arial"/>
                <w:sz w:val="18"/>
                <w:szCs w:val="18"/>
              </w:rPr>
              <w:t>70</w:t>
            </w:r>
            <w:r w:rsidRPr="00C4304F">
              <w:rPr>
                <w:rFonts w:cs="Arial"/>
                <w:sz w:val="18"/>
                <w:szCs w:val="18"/>
              </w:rPr>
              <w:t>%</w:t>
            </w:r>
            <w:r w:rsidR="00694040" w:rsidRPr="00C4304F">
              <w:rPr>
                <w:rFonts w:cs="Arial"/>
                <w:sz w:val="18"/>
                <w:szCs w:val="18"/>
              </w:rPr>
              <w:t xml:space="preserve"> </w:t>
            </w:r>
            <w:r w:rsidR="2147A9C9" w:rsidRPr="00C4304F">
              <w:rPr>
                <w:rFonts w:cs="Arial"/>
                <w:sz w:val="18"/>
                <w:szCs w:val="18"/>
              </w:rPr>
              <w:t>(</w:t>
            </w:r>
            <w:r w:rsidRPr="00C4304F">
              <w:rPr>
                <w:rFonts w:cs="Arial"/>
                <w:sz w:val="18"/>
                <w:szCs w:val="18"/>
              </w:rPr>
              <w:t>December 2018</w:t>
            </w:r>
            <w:r w:rsidR="2147A9C9" w:rsidRPr="00C4304F">
              <w:rPr>
                <w:rFonts w:cs="Arial"/>
                <w:sz w:val="18"/>
                <w:szCs w:val="18"/>
              </w:rPr>
              <w:t xml:space="preserve"> Baseline: </w:t>
            </w:r>
            <w:r w:rsidRPr="00C4304F">
              <w:rPr>
                <w:rFonts w:cs="Arial"/>
                <w:sz w:val="18"/>
                <w:szCs w:val="18"/>
              </w:rPr>
              <w:t>0</w:t>
            </w:r>
            <w:r w:rsidR="2147A9C9" w:rsidRPr="00C4304F">
              <w:rPr>
                <w:rFonts w:cs="Arial"/>
                <w:sz w:val="18"/>
                <w:szCs w:val="18"/>
              </w:rPr>
              <w:t xml:space="preserve">%) </w:t>
            </w:r>
          </w:p>
          <w:p w14:paraId="54A30C57" w14:textId="77777777" w:rsidR="00694040" w:rsidRPr="00C4304F" w:rsidRDefault="00694040" w:rsidP="00C4304F">
            <w:pPr>
              <w:jc w:val="left"/>
              <w:rPr>
                <w:rFonts w:eastAsiaTheme="minorEastAsia" w:cs="Arial"/>
                <w:b/>
                <w:color w:val="000000" w:themeColor="text1"/>
                <w:sz w:val="18"/>
                <w:szCs w:val="18"/>
              </w:rPr>
            </w:pPr>
          </w:p>
        </w:tc>
        <w:tc>
          <w:tcPr>
            <w:tcW w:w="0" w:type="auto"/>
          </w:tcPr>
          <w:p w14:paraId="02D3C423" w14:textId="77777777" w:rsidR="000B1C98" w:rsidRPr="00C4304F" w:rsidRDefault="000B1C98" w:rsidP="000B1C98">
            <w:pPr>
              <w:jc w:val="left"/>
              <w:rPr>
                <w:rFonts w:eastAsiaTheme="minorEastAsia" w:cs="Arial"/>
                <w:color w:val="000000" w:themeColor="text1"/>
                <w:sz w:val="18"/>
                <w:szCs w:val="18"/>
              </w:rPr>
            </w:pPr>
          </w:p>
          <w:p w14:paraId="01F8A9C0" w14:textId="4508CD67" w:rsidR="00694040" w:rsidRPr="00C4304F" w:rsidRDefault="00694040" w:rsidP="008F7BA7">
            <w:pPr>
              <w:jc w:val="left"/>
              <w:rPr>
                <w:rFonts w:eastAsiaTheme="minorEastAsia" w:cs="Arial"/>
                <w:color w:val="000000" w:themeColor="text1"/>
                <w:sz w:val="18"/>
                <w:szCs w:val="18"/>
              </w:rPr>
            </w:pPr>
            <w:r w:rsidRPr="00C4304F">
              <w:rPr>
                <w:rFonts w:eastAsiaTheme="minorEastAsia" w:cs="Arial"/>
                <w:color w:val="000000" w:themeColor="text1"/>
                <w:sz w:val="18"/>
                <w:szCs w:val="18"/>
              </w:rPr>
              <w:t>National Statistics Office of Georgia</w:t>
            </w:r>
          </w:p>
          <w:p w14:paraId="4F9B6824" w14:textId="77777777" w:rsidR="000B1C98" w:rsidRPr="00C4304F" w:rsidRDefault="000B1C98" w:rsidP="008F7BA7">
            <w:pPr>
              <w:jc w:val="left"/>
              <w:rPr>
                <w:rFonts w:eastAsiaTheme="minorEastAsia" w:cs="Arial"/>
                <w:color w:val="000000" w:themeColor="text1"/>
                <w:sz w:val="18"/>
                <w:szCs w:val="18"/>
              </w:rPr>
            </w:pPr>
          </w:p>
          <w:p w14:paraId="31137E55" w14:textId="77777777" w:rsidR="00C4304F" w:rsidRPr="00C4304F" w:rsidRDefault="00C4304F" w:rsidP="00C4304F">
            <w:pPr>
              <w:jc w:val="left"/>
              <w:rPr>
                <w:rFonts w:eastAsiaTheme="minorEastAsia" w:cs="Arial"/>
                <w:bCs/>
                <w:color w:val="000000" w:themeColor="text1"/>
                <w:sz w:val="18"/>
                <w:szCs w:val="18"/>
              </w:rPr>
            </w:pPr>
          </w:p>
          <w:p w14:paraId="7CD69FC3" w14:textId="0EBD1627" w:rsidR="000B1C98" w:rsidRPr="00C4304F" w:rsidRDefault="00694040" w:rsidP="000B1C98">
            <w:pPr>
              <w:jc w:val="left"/>
              <w:rPr>
                <w:rFonts w:eastAsiaTheme="minorEastAsia" w:cs="Arial"/>
                <w:color w:val="000000" w:themeColor="text1"/>
                <w:sz w:val="18"/>
                <w:szCs w:val="18"/>
              </w:rPr>
            </w:pPr>
            <w:r w:rsidRPr="00C4304F">
              <w:rPr>
                <w:rFonts w:eastAsiaTheme="minorEastAsia" w:cs="Arial"/>
                <w:color w:val="000000" w:themeColor="text1"/>
                <w:sz w:val="18"/>
                <w:szCs w:val="18"/>
              </w:rPr>
              <w:t xml:space="preserve">IMF EFF </w:t>
            </w:r>
            <w:r w:rsidR="004715F7">
              <w:rPr>
                <w:rFonts w:eastAsiaTheme="minorEastAsia" w:cs="Arial"/>
                <w:color w:val="000000" w:themeColor="text1"/>
                <w:sz w:val="18"/>
                <w:szCs w:val="18"/>
              </w:rPr>
              <w:t xml:space="preserve">Staff </w:t>
            </w:r>
            <w:r w:rsidRPr="00C4304F">
              <w:rPr>
                <w:rFonts w:eastAsiaTheme="minorEastAsia" w:cs="Arial"/>
                <w:color w:val="000000" w:themeColor="text1"/>
                <w:sz w:val="18"/>
                <w:szCs w:val="18"/>
              </w:rPr>
              <w:t>Reviews</w:t>
            </w:r>
          </w:p>
          <w:p w14:paraId="54C15AC3" w14:textId="18C3CFD9" w:rsidR="000B1C98" w:rsidRPr="00C4304F" w:rsidRDefault="000B1C98" w:rsidP="000B1C98">
            <w:pPr>
              <w:jc w:val="left"/>
              <w:rPr>
                <w:rFonts w:eastAsiaTheme="minorEastAsia" w:cs="Arial"/>
                <w:color w:val="000000" w:themeColor="text1"/>
                <w:sz w:val="18"/>
                <w:szCs w:val="18"/>
              </w:rPr>
            </w:pPr>
          </w:p>
          <w:p w14:paraId="2B09659D" w14:textId="77777777" w:rsidR="000B1C98" w:rsidRPr="00C4304F" w:rsidRDefault="000B1C98" w:rsidP="008F7BA7">
            <w:pPr>
              <w:jc w:val="left"/>
              <w:rPr>
                <w:rFonts w:eastAsiaTheme="minorEastAsia" w:cs="Arial"/>
                <w:color w:val="000000" w:themeColor="text1"/>
                <w:sz w:val="18"/>
                <w:szCs w:val="18"/>
              </w:rPr>
            </w:pPr>
          </w:p>
          <w:p w14:paraId="0E1D5673" w14:textId="5CE09F82" w:rsidR="00694040" w:rsidRPr="00C4304F" w:rsidRDefault="00432C7B" w:rsidP="008F7BA7">
            <w:pPr>
              <w:jc w:val="left"/>
              <w:rPr>
                <w:rFonts w:eastAsiaTheme="minorEastAsia" w:cs="Arial"/>
                <w:color w:val="000000" w:themeColor="text1"/>
                <w:sz w:val="18"/>
                <w:szCs w:val="18"/>
              </w:rPr>
            </w:pPr>
            <w:r w:rsidRPr="00C4304F">
              <w:rPr>
                <w:rFonts w:eastAsiaTheme="minorEastAsia" w:cs="Arial"/>
                <w:color w:val="000000" w:themeColor="text1"/>
                <w:sz w:val="18"/>
                <w:szCs w:val="18"/>
              </w:rPr>
              <w:t>Pension Agency Report</w:t>
            </w:r>
          </w:p>
        </w:tc>
        <w:tc>
          <w:tcPr>
            <w:tcW w:w="1795" w:type="dxa"/>
          </w:tcPr>
          <w:p w14:paraId="168A4263" w14:textId="494B3344" w:rsidR="00694040" w:rsidRPr="00C4304F" w:rsidRDefault="003B4071" w:rsidP="00C4304F">
            <w:pPr>
              <w:jc w:val="left"/>
              <w:rPr>
                <w:rFonts w:cs="Arial"/>
                <w:sz w:val="18"/>
                <w:szCs w:val="18"/>
              </w:rPr>
            </w:pPr>
            <w:r w:rsidRPr="00C4304F">
              <w:rPr>
                <w:rStyle w:val="normaltextrun"/>
                <w:rFonts w:cs="Arial"/>
                <w:color w:val="000000"/>
                <w:sz w:val="18"/>
                <w:szCs w:val="18"/>
              </w:rPr>
              <w:t>Incidence of COVID-19 increases substantially placing significant burden in public health systems and triggering another nation-wide lockdown</w:t>
            </w:r>
          </w:p>
        </w:tc>
      </w:tr>
      <w:tr w:rsidR="00977AFF" w:rsidRPr="008F7BA7" w14:paraId="07B6EF27" w14:textId="77777777" w:rsidTr="00C4304F">
        <w:tc>
          <w:tcPr>
            <w:tcW w:w="2155" w:type="dxa"/>
          </w:tcPr>
          <w:p w14:paraId="4DADC1D9" w14:textId="4790687C" w:rsidR="00694040" w:rsidRPr="00C4304F" w:rsidRDefault="6D6978DF" w:rsidP="00C4304F">
            <w:pPr>
              <w:autoSpaceDE w:val="0"/>
              <w:autoSpaceDN w:val="0"/>
              <w:adjustRightInd w:val="0"/>
              <w:jc w:val="left"/>
              <w:rPr>
                <w:rFonts w:eastAsiaTheme="minorEastAsia" w:cs="Arial"/>
                <w:b/>
                <w:color w:val="000000" w:themeColor="text1"/>
                <w:sz w:val="18"/>
                <w:szCs w:val="18"/>
              </w:rPr>
            </w:pPr>
            <w:r w:rsidRPr="00C4304F">
              <w:rPr>
                <w:rFonts w:eastAsiaTheme="minorEastAsia" w:cs="Arial"/>
                <w:b/>
                <w:color w:val="000000" w:themeColor="text1"/>
                <w:sz w:val="18"/>
                <w:szCs w:val="18"/>
              </w:rPr>
              <w:t>Reform Areas</w:t>
            </w:r>
            <w:r w:rsidR="00A31344" w:rsidRPr="00C4304F">
              <w:rPr>
                <w:rFonts w:eastAsiaTheme="minorEastAsia" w:cs="Arial"/>
                <w:b/>
                <w:color w:val="000000" w:themeColor="text1"/>
                <w:sz w:val="18"/>
                <w:szCs w:val="18"/>
              </w:rPr>
              <w:t xml:space="preserve"> under Subprogram 1</w:t>
            </w:r>
            <w:r w:rsidR="7BF2E1B8" w:rsidRPr="00C4304F">
              <w:rPr>
                <w:rFonts w:eastAsiaTheme="minorEastAsia" w:cs="Arial"/>
                <w:b/>
                <w:color w:val="000000" w:themeColor="text1"/>
                <w:sz w:val="18"/>
                <w:szCs w:val="18"/>
              </w:rPr>
              <w:t>:</w:t>
            </w:r>
          </w:p>
          <w:p w14:paraId="1DF29380" w14:textId="77777777" w:rsidR="00694040" w:rsidRPr="00C4304F" w:rsidRDefault="00694040" w:rsidP="00C4304F">
            <w:pPr>
              <w:autoSpaceDE w:val="0"/>
              <w:autoSpaceDN w:val="0"/>
              <w:adjustRightInd w:val="0"/>
              <w:jc w:val="left"/>
              <w:rPr>
                <w:rFonts w:eastAsiaTheme="minorEastAsia" w:cs="Arial"/>
                <w:b/>
                <w:color w:val="000000" w:themeColor="text1"/>
                <w:sz w:val="18"/>
                <w:szCs w:val="18"/>
              </w:rPr>
            </w:pPr>
          </w:p>
          <w:p w14:paraId="7E115E07" w14:textId="25A2F02E" w:rsidR="00694040" w:rsidRPr="00C4304F" w:rsidRDefault="00694040" w:rsidP="00C4304F">
            <w:pPr>
              <w:pStyle w:val="Heading3"/>
              <w:numPr>
                <w:ilvl w:val="0"/>
                <w:numId w:val="0"/>
              </w:numPr>
              <w:jc w:val="left"/>
              <w:rPr>
                <w:rFonts w:cs="Arial"/>
                <w:b w:val="0"/>
                <w:sz w:val="18"/>
                <w:szCs w:val="18"/>
              </w:rPr>
            </w:pPr>
            <w:r w:rsidRPr="00C4304F">
              <w:rPr>
                <w:rFonts w:cs="Arial"/>
                <w:b w:val="0"/>
                <w:sz w:val="18"/>
                <w:szCs w:val="18"/>
              </w:rPr>
              <w:t>1. Management of public exposure to fiscal risks is strengthened.</w:t>
            </w:r>
          </w:p>
          <w:p w14:paraId="7B512C26" w14:textId="77777777" w:rsidR="00694040" w:rsidRPr="00C4304F" w:rsidRDefault="00694040" w:rsidP="00C4304F">
            <w:pPr>
              <w:jc w:val="left"/>
              <w:rPr>
                <w:rFonts w:cs="Arial"/>
                <w:sz w:val="18"/>
                <w:szCs w:val="18"/>
              </w:rPr>
            </w:pPr>
          </w:p>
          <w:p w14:paraId="7417A683" w14:textId="77777777" w:rsidR="00694040" w:rsidRPr="00C4304F" w:rsidRDefault="00694040" w:rsidP="00C4304F">
            <w:pPr>
              <w:jc w:val="left"/>
              <w:rPr>
                <w:rFonts w:cs="Arial"/>
                <w:sz w:val="18"/>
                <w:szCs w:val="18"/>
              </w:rPr>
            </w:pPr>
          </w:p>
          <w:p w14:paraId="24CAF7CF" w14:textId="77777777" w:rsidR="00694040" w:rsidRPr="00C4304F" w:rsidRDefault="00694040" w:rsidP="00C4304F">
            <w:pPr>
              <w:jc w:val="left"/>
              <w:rPr>
                <w:rFonts w:eastAsiaTheme="minorEastAsia" w:cs="Arial"/>
                <w:b/>
                <w:color w:val="000000" w:themeColor="text1"/>
                <w:sz w:val="18"/>
                <w:szCs w:val="18"/>
              </w:rPr>
            </w:pPr>
          </w:p>
          <w:p w14:paraId="00A170E3" w14:textId="77777777" w:rsidR="00694040" w:rsidRPr="00C4304F" w:rsidRDefault="00694040" w:rsidP="00C4304F">
            <w:pPr>
              <w:jc w:val="left"/>
              <w:rPr>
                <w:rFonts w:eastAsiaTheme="minorEastAsia" w:cs="Arial"/>
                <w:b/>
                <w:color w:val="000000" w:themeColor="text1"/>
                <w:sz w:val="18"/>
                <w:szCs w:val="18"/>
              </w:rPr>
            </w:pPr>
          </w:p>
          <w:p w14:paraId="2A4E2882" w14:textId="77777777" w:rsidR="00694040" w:rsidRPr="00C4304F" w:rsidRDefault="00694040" w:rsidP="00C4304F">
            <w:pPr>
              <w:jc w:val="left"/>
              <w:rPr>
                <w:rFonts w:eastAsiaTheme="minorEastAsia" w:cs="Arial"/>
                <w:b/>
                <w:color w:val="000000" w:themeColor="text1"/>
                <w:sz w:val="18"/>
                <w:szCs w:val="18"/>
              </w:rPr>
            </w:pPr>
          </w:p>
          <w:p w14:paraId="02D9434E" w14:textId="77777777" w:rsidR="00694040" w:rsidRPr="00C4304F" w:rsidRDefault="00694040" w:rsidP="00C4304F">
            <w:pPr>
              <w:jc w:val="left"/>
              <w:rPr>
                <w:rFonts w:eastAsiaTheme="minorEastAsia" w:cs="Arial"/>
                <w:b/>
                <w:color w:val="000000" w:themeColor="text1"/>
                <w:sz w:val="18"/>
                <w:szCs w:val="18"/>
              </w:rPr>
            </w:pPr>
          </w:p>
          <w:p w14:paraId="2F98E854" w14:textId="77777777" w:rsidR="00694040" w:rsidRPr="00C4304F" w:rsidRDefault="00694040" w:rsidP="00C4304F">
            <w:pPr>
              <w:jc w:val="left"/>
              <w:rPr>
                <w:rFonts w:eastAsiaTheme="minorEastAsia" w:cs="Arial"/>
                <w:b/>
                <w:color w:val="000000" w:themeColor="text1"/>
                <w:sz w:val="18"/>
                <w:szCs w:val="18"/>
              </w:rPr>
            </w:pPr>
          </w:p>
          <w:p w14:paraId="110412A0" w14:textId="77777777" w:rsidR="00694040" w:rsidRPr="00C4304F" w:rsidRDefault="00694040" w:rsidP="00C4304F">
            <w:pPr>
              <w:jc w:val="left"/>
              <w:rPr>
                <w:rFonts w:eastAsiaTheme="minorEastAsia" w:cs="Arial"/>
                <w:b/>
                <w:color w:val="000000" w:themeColor="text1"/>
                <w:sz w:val="18"/>
                <w:szCs w:val="18"/>
              </w:rPr>
            </w:pPr>
          </w:p>
          <w:p w14:paraId="374A21F8" w14:textId="77777777" w:rsidR="00694040" w:rsidRPr="00C4304F" w:rsidRDefault="00694040" w:rsidP="00C4304F">
            <w:pPr>
              <w:jc w:val="left"/>
              <w:rPr>
                <w:rFonts w:eastAsiaTheme="minorEastAsia" w:cs="Arial"/>
                <w:b/>
                <w:color w:val="000000" w:themeColor="text1"/>
                <w:sz w:val="18"/>
                <w:szCs w:val="18"/>
              </w:rPr>
            </w:pPr>
          </w:p>
          <w:p w14:paraId="28A9E1AA" w14:textId="77777777" w:rsidR="00694040" w:rsidRPr="00C4304F" w:rsidRDefault="00694040" w:rsidP="00C4304F">
            <w:pPr>
              <w:jc w:val="left"/>
              <w:rPr>
                <w:rFonts w:eastAsiaTheme="minorEastAsia" w:cs="Arial"/>
                <w:b/>
                <w:color w:val="000000" w:themeColor="text1"/>
                <w:sz w:val="18"/>
                <w:szCs w:val="18"/>
              </w:rPr>
            </w:pPr>
          </w:p>
          <w:p w14:paraId="5F2B7766" w14:textId="77777777" w:rsidR="00694040" w:rsidRPr="00C4304F" w:rsidRDefault="00694040" w:rsidP="00C4304F">
            <w:pPr>
              <w:jc w:val="left"/>
              <w:rPr>
                <w:rFonts w:eastAsiaTheme="minorEastAsia" w:cs="Arial"/>
                <w:b/>
                <w:color w:val="000000" w:themeColor="text1"/>
                <w:sz w:val="18"/>
                <w:szCs w:val="18"/>
              </w:rPr>
            </w:pPr>
          </w:p>
          <w:p w14:paraId="3EC759D1" w14:textId="77777777" w:rsidR="00694040" w:rsidRPr="00C4304F" w:rsidRDefault="00694040" w:rsidP="00C4304F">
            <w:pPr>
              <w:jc w:val="left"/>
              <w:rPr>
                <w:rFonts w:eastAsiaTheme="minorEastAsia" w:cs="Arial"/>
                <w:b/>
                <w:color w:val="000000" w:themeColor="text1"/>
                <w:sz w:val="18"/>
                <w:szCs w:val="18"/>
              </w:rPr>
            </w:pPr>
          </w:p>
          <w:p w14:paraId="6376378B" w14:textId="77777777" w:rsidR="00694040" w:rsidRPr="00C4304F" w:rsidRDefault="00694040" w:rsidP="00C4304F">
            <w:pPr>
              <w:jc w:val="left"/>
              <w:rPr>
                <w:rFonts w:eastAsiaTheme="minorEastAsia" w:cs="Arial"/>
                <w:b/>
                <w:color w:val="000000" w:themeColor="text1"/>
                <w:sz w:val="18"/>
                <w:szCs w:val="18"/>
              </w:rPr>
            </w:pPr>
          </w:p>
          <w:p w14:paraId="5E343E43" w14:textId="77777777" w:rsidR="00694040" w:rsidRPr="00C4304F" w:rsidRDefault="00694040" w:rsidP="00C4304F">
            <w:pPr>
              <w:jc w:val="left"/>
              <w:rPr>
                <w:rFonts w:eastAsiaTheme="minorEastAsia" w:cs="Arial"/>
                <w:b/>
                <w:color w:val="000000" w:themeColor="text1"/>
                <w:sz w:val="18"/>
                <w:szCs w:val="18"/>
              </w:rPr>
            </w:pPr>
          </w:p>
          <w:p w14:paraId="28093EB5" w14:textId="77777777" w:rsidR="00694040" w:rsidRPr="00C4304F" w:rsidRDefault="00694040" w:rsidP="00C4304F">
            <w:pPr>
              <w:jc w:val="left"/>
              <w:rPr>
                <w:rFonts w:eastAsiaTheme="minorEastAsia" w:cs="Arial"/>
                <w:b/>
                <w:color w:val="000000" w:themeColor="text1"/>
                <w:sz w:val="18"/>
                <w:szCs w:val="18"/>
              </w:rPr>
            </w:pPr>
          </w:p>
          <w:p w14:paraId="6659F8EE" w14:textId="77777777" w:rsidR="00694040" w:rsidRPr="00C4304F" w:rsidRDefault="00694040" w:rsidP="00C4304F">
            <w:pPr>
              <w:jc w:val="left"/>
              <w:rPr>
                <w:rFonts w:eastAsiaTheme="minorEastAsia" w:cs="Arial"/>
                <w:b/>
                <w:color w:val="000000" w:themeColor="text1"/>
                <w:sz w:val="18"/>
                <w:szCs w:val="18"/>
              </w:rPr>
            </w:pPr>
          </w:p>
          <w:p w14:paraId="040599DE" w14:textId="77777777" w:rsidR="00694040" w:rsidRPr="00C4304F" w:rsidRDefault="00694040" w:rsidP="00C4304F">
            <w:pPr>
              <w:jc w:val="left"/>
              <w:rPr>
                <w:rFonts w:eastAsiaTheme="minorEastAsia" w:cs="Arial"/>
                <w:b/>
                <w:color w:val="000000" w:themeColor="text1"/>
                <w:sz w:val="18"/>
                <w:szCs w:val="18"/>
              </w:rPr>
            </w:pPr>
          </w:p>
          <w:p w14:paraId="3EB558E2" w14:textId="77777777" w:rsidR="00694040" w:rsidRPr="00C4304F" w:rsidRDefault="00694040" w:rsidP="00C4304F">
            <w:pPr>
              <w:jc w:val="left"/>
              <w:rPr>
                <w:rFonts w:eastAsiaTheme="minorEastAsia" w:cs="Arial"/>
                <w:b/>
                <w:color w:val="000000" w:themeColor="text1"/>
                <w:sz w:val="18"/>
                <w:szCs w:val="18"/>
              </w:rPr>
            </w:pPr>
          </w:p>
          <w:p w14:paraId="3176B92C" w14:textId="77777777" w:rsidR="00694040" w:rsidRPr="00C4304F" w:rsidRDefault="00694040" w:rsidP="00C4304F">
            <w:pPr>
              <w:jc w:val="left"/>
              <w:rPr>
                <w:rFonts w:eastAsiaTheme="minorEastAsia" w:cs="Arial"/>
                <w:b/>
                <w:color w:val="000000" w:themeColor="text1"/>
                <w:sz w:val="18"/>
                <w:szCs w:val="18"/>
              </w:rPr>
            </w:pPr>
          </w:p>
          <w:p w14:paraId="54C0E180" w14:textId="77777777" w:rsidR="00694040" w:rsidRPr="00C4304F" w:rsidRDefault="00694040" w:rsidP="00C4304F">
            <w:pPr>
              <w:jc w:val="left"/>
              <w:rPr>
                <w:rFonts w:eastAsiaTheme="minorEastAsia" w:cs="Arial"/>
                <w:b/>
                <w:color w:val="000000" w:themeColor="text1"/>
                <w:sz w:val="18"/>
                <w:szCs w:val="18"/>
              </w:rPr>
            </w:pPr>
          </w:p>
          <w:p w14:paraId="08AB1E93" w14:textId="77777777" w:rsidR="00694040" w:rsidRPr="00C4304F" w:rsidRDefault="00694040" w:rsidP="00C4304F">
            <w:pPr>
              <w:jc w:val="left"/>
              <w:rPr>
                <w:rFonts w:eastAsiaTheme="minorEastAsia" w:cs="Arial"/>
                <w:b/>
                <w:color w:val="000000" w:themeColor="text1"/>
                <w:sz w:val="18"/>
                <w:szCs w:val="18"/>
              </w:rPr>
            </w:pPr>
          </w:p>
          <w:p w14:paraId="219E43CB" w14:textId="77777777" w:rsidR="00694040" w:rsidRPr="00C4304F" w:rsidRDefault="00694040" w:rsidP="00C4304F">
            <w:pPr>
              <w:jc w:val="left"/>
              <w:rPr>
                <w:rFonts w:eastAsiaTheme="minorEastAsia" w:cs="Arial"/>
                <w:b/>
                <w:color w:val="000000" w:themeColor="text1"/>
                <w:sz w:val="18"/>
                <w:szCs w:val="18"/>
              </w:rPr>
            </w:pPr>
          </w:p>
          <w:p w14:paraId="1F433EA2" w14:textId="77777777" w:rsidR="00694040" w:rsidRPr="00C4304F" w:rsidRDefault="00694040" w:rsidP="00C4304F">
            <w:pPr>
              <w:jc w:val="left"/>
              <w:rPr>
                <w:rFonts w:eastAsiaTheme="minorEastAsia" w:cs="Arial"/>
                <w:b/>
                <w:color w:val="000000" w:themeColor="text1"/>
                <w:sz w:val="18"/>
                <w:szCs w:val="18"/>
              </w:rPr>
            </w:pPr>
          </w:p>
          <w:p w14:paraId="6946D064" w14:textId="77777777" w:rsidR="00694040" w:rsidRPr="00C4304F" w:rsidRDefault="00694040" w:rsidP="00C4304F">
            <w:pPr>
              <w:jc w:val="left"/>
              <w:rPr>
                <w:rFonts w:eastAsiaTheme="minorEastAsia" w:cs="Arial"/>
                <w:b/>
                <w:color w:val="000000" w:themeColor="text1"/>
                <w:sz w:val="18"/>
                <w:szCs w:val="18"/>
              </w:rPr>
            </w:pPr>
          </w:p>
          <w:p w14:paraId="376AC24B" w14:textId="77777777" w:rsidR="00694040" w:rsidRPr="00C4304F" w:rsidRDefault="00694040" w:rsidP="00C4304F">
            <w:pPr>
              <w:jc w:val="left"/>
              <w:rPr>
                <w:rFonts w:eastAsiaTheme="minorEastAsia" w:cs="Arial"/>
                <w:b/>
                <w:color w:val="000000" w:themeColor="text1"/>
                <w:sz w:val="18"/>
                <w:szCs w:val="18"/>
              </w:rPr>
            </w:pPr>
          </w:p>
          <w:p w14:paraId="467CF81D" w14:textId="77777777" w:rsidR="00EA3CF3" w:rsidRPr="00C4304F" w:rsidRDefault="00EA3CF3" w:rsidP="00C4304F">
            <w:pPr>
              <w:jc w:val="left"/>
              <w:rPr>
                <w:rFonts w:eastAsiaTheme="minorEastAsia" w:cs="Arial"/>
                <w:b/>
                <w:color w:val="000000" w:themeColor="text1"/>
                <w:sz w:val="18"/>
                <w:szCs w:val="18"/>
              </w:rPr>
            </w:pPr>
          </w:p>
          <w:p w14:paraId="1EFD6D92" w14:textId="77777777" w:rsidR="00EA3CF3" w:rsidRPr="00C4304F" w:rsidRDefault="00EA3CF3" w:rsidP="00C4304F">
            <w:pPr>
              <w:jc w:val="left"/>
              <w:rPr>
                <w:rFonts w:eastAsiaTheme="minorEastAsia" w:cs="Arial"/>
                <w:b/>
                <w:color w:val="000000" w:themeColor="text1"/>
                <w:sz w:val="18"/>
                <w:szCs w:val="18"/>
              </w:rPr>
            </w:pPr>
          </w:p>
          <w:p w14:paraId="5ABCEB62" w14:textId="77777777" w:rsidR="00EA3CF3" w:rsidRPr="00C4304F" w:rsidRDefault="00EA3CF3" w:rsidP="00C4304F">
            <w:pPr>
              <w:jc w:val="left"/>
              <w:rPr>
                <w:rFonts w:eastAsiaTheme="minorEastAsia" w:cs="Arial"/>
                <w:b/>
                <w:color w:val="000000" w:themeColor="text1"/>
                <w:sz w:val="18"/>
                <w:szCs w:val="18"/>
              </w:rPr>
            </w:pPr>
          </w:p>
          <w:p w14:paraId="17258A47" w14:textId="77777777" w:rsidR="00EA3CF3" w:rsidRPr="00C4304F" w:rsidRDefault="00EA3CF3" w:rsidP="00C4304F">
            <w:pPr>
              <w:jc w:val="left"/>
              <w:rPr>
                <w:rFonts w:eastAsiaTheme="minorEastAsia" w:cs="Arial"/>
                <w:b/>
                <w:color w:val="000000" w:themeColor="text1"/>
                <w:sz w:val="18"/>
                <w:szCs w:val="18"/>
              </w:rPr>
            </w:pPr>
          </w:p>
          <w:p w14:paraId="446F4B60" w14:textId="77777777" w:rsidR="00EA3CF3" w:rsidRPr="00C4304F" w:rsidRDefault="00EA3CF3" w:rsidP="00C4304F">
            <w:pPr>
              <w:jc w:val="left"/>
              <w:rPr>
                <w:rFonts w:eastAsiaTheme="minorEastAsia" w:cs="Arial"/>
                <w:b/>
                <w:color w:val="000000" w:themeColor="text1"/>
                <w:sz w:val="18"/>
                <w:szCs w:val="18"/>
              </w:rPr>
            </w:pPr>
          </w:p>
          <w:p w14:paraId="582EFEBD" w14:textId="77777777" w:rsidR="00EA3CF3" w:rsidRPr="00C4304F" w:rsidRDefault="00EA3CF3" w:rsidP="00C4304F">
            <w:pPr>
              <w:jc w:val="left"/>
              <w:rPr>
                <w:rFonts w:eastAsiaTheme="minorEastAsia" w:cs="Arial"/>
                <w:b/>
                <w:color w:val="000000" w:themeColor="text1"/>
                <w:sz w:val="18"/>
                <w:szCs w:val="18"/>
              </w:rPr>
            </w:pPr>
          </w:p>
          <w:p w14:paraId="097DC258" w14:textId="77777777" w:rsidR="00EA3CF3" w:rsidRPr="00C4304F" w:rsidRDefault="00EA3CF3" w:rsidP="00C4304F">
            <w:pPr>
              <w:jc w:val="left"/>
              <w:rPr>
                <w:rFonts w:eastAsiaTheme="minorEastAsia" w:cs="Arial"/>
                <w:b/>
                <w:color w:val="000000" w:themeColor="text1"/>
                <w:sz w:val="18"/>
                <w:szCs w:val="18"/>
              </w:rPr>
            </w:pPr>
          </w:p>
          <w:p w14:paraId="549EF68D" w14:textId="77777777" w:rsidR="00EA3CF3" w:rsidRPr="00C4304F" w:rsidRDefault="00EA3CF3" w:rsidP="00C4304F">
            <w:pPr>
              <w:jc w:val="left"/>
              <w:rPr>
                <w:rFonts w:eastAsiaTheme="minorEastAsia" w:cs="Arial"/>
                <w:b/>
                <w:color w:val="000000" w:themeColor="text1"/>
                <w:sz w:val="18"/>
                <w:szCs w:val="18"/>
              </w:rPr>
            </w:pPr>
          </w:p>
          <w:p w14:paraId="5A2774B0" w14:textId="77777777" w:rsidR="00EA3CF3" w:rsidRPr="00C4304F" w:rsidRDefault="00EA3CF3" w:rsidP="00C4304F">
            <w:pPr>
              <w:jc w:val="left"/>
              <w:rPr>
                <w:rFonts w:eastAsiaTheme="minorEastAsia" w:cs="Arial"/>
                <w:b/>
                <w:color w:val="000000" w:themeColor="text1"/>
                <w:sz w:val="18"/>
                <w:szCs w:val="18"/>
              </w:rPr>
            </w:pPr>
          </w:p>
          <w:p w14:paraId="41CBDDF7" w14:textId="77777777" w:rsidR="00EA3CF3" w:rsidRPr="00C4304F" w:rsidRDefault="00EA3CF3" w:rsidP="00C4304F">
            <w:pPr>
              <w:jc w:val="left"/>
              <w:rPr>
                <w:rFonts w:eastAsiaTheme="minorEastAsia" w:cs="Arial"/>
                <w:b/>
                <w:color w:val="000000" w:themeColor="text1"/>
                <w:sz w:val="18"/>
                <w:szCs w:val="18"/>
              </w:rPr>
            </w:pPr>
          </w:p>
          <w:p w14:paraId="6E8FE001" w14:textId="77777777" w:rsidR="00EA3CF3" w:rsidRPr="00C4304F" w:rsidRDefault="00EA3CF3" w:rsidP="00C4304F">
            <w:pPr>
              <w:jc w:val="left"/>
              <w:rPr>
                <w:rFonts w:eastAsiaTheme="minorEastAsia" w:cs="Arial"/>
                <w:b/>
                <w:color w:val="000000" w:themeColor="text1"/>
                <w:sz w:val="18"/>
                <w:szCs w:val="18"/>
              </w:rPr>
            </w:pPr>
          </w:p>
          <w:p w14:paraId="09CD3B76" w14:textId="77777777" w:rsidR="00EA3CF3" w:rsidRPr="00C4304F" w:rsidRDefault="00EA3CF3" w:rsidP="00C4304F">
            <w:pPr>
              <w:jc w:val="left"/>
              <w:rPr>
                <w:rFonts w:eastAsiaTheme="minorEastAsia" w:cs="Arial"/>
                <w:b/>
                <w:color w:val="000000" w:themeColor="text1"/>
                <w:sz w:val="18"/>
                <w:szCs w:val="18"/>
              </w:rPr>
            </w:pPr>
          </w:p>
          <w:p w14:paraId="338D0CB4" w14:textId="77777777" w:rsidR="00EA3CF3" w:rsidRPr="00C4304F" w:rsidRDefault="00EA3CF3" w:rsidP="00C4304F">
            <w:pPr>
              <w:jc w:val="left"/>
              <w:rPr>
                <w:rFonts w:eastAsiaTheme="minorEastAsia" w:cs="Arial"/>
                <w:b/>
                <w:color w:val="000000" w:themeColor="text1"/>
                <w:sz w:val="18"/>
                <w:szCs w:val="18"/>
              </w:rPr>
            </w:pPr>
          </w:p>
          <w:p w14:paraId="2347BC44" w14:textId="77777777" w:rsidR="00EA3CF3" w:rsidRPr="00C4304F" w:rsidRDefault="00EA3CF3" w:rsidP="00C4304F">
            <w:pPr>
              <w:jc w:val="left"/>
              <w:rPr>
                <w:rFonts w:eastAsiaTheme="minorEastAsia" w:cs="Arial"/>
                <w:b/>
                <w:color w:val="000000" w:themeColor="text1"/>
                <w:sz w:val="18"/>
                <w:szCs w:val="18"/>
              </w:rPr>
            </w:pPr>
          </w:p>
          <w:p w14:paraId="47636EFA" w14:textId="77777777" w:rsidR="00EA3CF3" w:rsidRPr="00C4304F" w:rsidRDefault="00EA3CF3" w:rsidP="00C4304F">
            <w:pPr>
              <w:jc w:val="left"/>
              <w:rPr>
                <w:rFonts w:eastAsiaTheme="minorEastAsia" w:cs="Arial"/>
                <w:b/>
                <w:color w:val="000000" w:themeColor="text1"/>
                <w:sz w:val="18"/>
                <w:szCs w:val="18"/>
              </w:rPr>
            </w:pPr>
          </w:p>
          <w:p w14:paraId="56CDEE6B" w14:textId="77777777" w:rsidR="00E63B56" w:rsidRPr="00C4304F" w:rsidRDefault="00E63B56" w:rsidP="00C4304F">
            <w:pPr>
              <w:jc w:val="left"/>
              <w:rPr>
                <w:rFonts w:eastAsiaTheme="minorEastAsia" w:cs="Arial"/>
                <w:b/>
                <w:color w:val="000000" w:themeColor="text1"/>
                <w:sz w:val="18"/>
                <w:szCs w:val="18"/>
              </w:rPr>
            </w:pPr>
          </w:p>
          <w:p w14:paraId="78F6D132" w14:textId="77777777" w:rsidR="00EA3CF3" w:rsidRPr="00C4304F" w:rsidRDefault="00EA3CF3" w:rsidP="00C4304F">
            <w:pPr>
              <w:jc w:val="left"/>
              <w:rPr>
                <w:rFonts w:eastAsiaTheme="minorEastAsia" w:cs="Arial"/>
                <w:b/>
                <w:color w:val="000000" w:themeColor="text1"/>
                <w:sz w:val="18"/>
                <w:szCs w:val="18"/>
              </w:rPr>
            </w:pPr>
          </w:p>
          <w:p w14:paraId="6EE06127" w14:textId="77777777" w:rsidR="00944A72" w:rsidRPr="00C4304F" w:rsidRDefault="00944A72" w:rsidP="00C4304F">
            <w:pPr>
              <w:jc w:val="left"/>
              <w:rPr>
                <w:rFonts w:eastAsiaTheme="minorEastAsia" w:cs="Arial"/>
                <w:b/>
                <w:color w:val="000000" w:themeColor="text1"/>
                <w:sz w:val="18"/>
                <w:szCs w:val="18"/>
              </w:rPr>
            </w:pPr>
          </w:p>
          <w:p w14:paraId="5CC9DDD5" w14:textId="77777777" w:rsidR="00694040" w:rsidRPr="00C4304F" w:rsidRDefault="00694040" w:rsidP="00C4304F">
            <w:pPr>
              <w:jc w:val="left"/>
              <w:rPr>
                <w:rFonts w:cs="Arial"/>
                <w:sz w:val="18"/>
                <w:szCs w:val="18"/>
              </w:rPr>
            </w:pPr>
            <w:r w:rsidRPr="00C4304F">
              <w:rPr>
                <w:rFonts w:cs="Arial"/>
                <w:sz w:val="18"/>
                <w:szCs w:val="18"/>
              </w:rPr>
              <w:t>2. Domestic debt market for government securities is deepened.</w:t>
            </w:r>
          </w:p>
          <w:p w14:paraId="0300761B" w14:textId="77777777" w:rsidR="00694040" w:rsidRPr="00C4304F" w:rsidRDefault="00694040" w:rsidP="00C4304F">
            <w:pPr>
              <w:jc w:val="left"/>
              <w:rPr>
                <w:rFonts w:eastAsiaTheme="minorEastAsia" w:cs="Arial"/>
                <w:b/>
                <w:color w:val="000000" w:themeColor="text1"/>
                <w:sz w:val="18"/>
                <w:szCs w:val="18"/>
              </w:rPr>
            </w:pPr>
          </w:p>
          <w:p w14:paraId="28A5CF55" w14:textId="77777777" w:rsidR="00694040" w:rsidRPr="00C4304F" w:rsidRDefault="00694040" w:rsidP="00C4304F">
            <w:pPr>
              <w:jc w:val="left"/>
              <w:rPr>
                <w:rFonts w:eastAsiaTheme="minorEastAsia" w:cs="Arial"/>
                <w:b/>
                <w:color w:val="000000" w:themeColor="text1"/>
                <w:sz w:val="18"/>
                <w:szCs w:val="18"/>
              </w:rPr>
            </w:pPr>
          </w:p>
          <w:p w14:paraId="04DFC7D7" w14:textId="77777777" w:rsidR="00694040" w:rsidRPr="00C4304F" w:rsidRDefault="00694040" w:rsidP="00C4304F">
            <w:pPr>
              <w:jc w:val="left"/>
              <w:rPr>
                <w:rFonts w:eastAsiaTheme="minorEastAsia" w:cs="Arial"/>
                <w:b/>
                <w:color w:val="000000" w:themeColor="text1"/>
                <w:sz w:val="18"/>
                <w:szCs w:val="18"/>
              </w:rPr>
            </w:pPr>
          </w:p>
          <w:p w14:paraId="259EDEB4" w14:textId="77777777" w:rsidR="00694040" w:rsidRPr="00C4304F" w:rsidRDefault="00694040" w:rsidP="00C4304F">
            <w:pPr>
              <w:jc w:val="left"/>
              <w:rPr>
                <w:rFonts w:eastAsiaTheme="minorEastAsia" w:cs="Arial"/>
                <w:b/>
                <w:color w:val="000000" w:themeColor="text1"/>
                <w:sz w:val="18"/>
                <w:szCs w:val="18"/>
              </w:rPr>
            </w:pPr>
          </w:p>
          <w:p w14:paraId="53AA8A56" w14:textId="77777777" w:rsidR="00694040" w:rsidRPr="00C4304F" w:rsidRDefault="00694040" w:rsidP="00C4304F">
            <w:pPr>
              <w:jc w:val="left"/>
              <w:rPr>
                <w:rFonts w:eastAsiaTheme="minorEastAsia" w:cs="Arial"/>
                <w:b/>
                <w:color w:val="000000" w:themeColor="text1"/>
                <w:sz w:val="18"/>
                <w:szCs w:val="18"/>
              </w:rPr>
            </w:pPr>
          </w:p>
          <w:p w14:paraId="52AD8C68" w14:textId="77777777" w:rsidR="00694040" w:rsidRPr="00C4304F" w:rsidRDefault="00694040" w:rsidP="00C4304F">
            <w:pPr>
              <w:jc w:val="left"/>
              <w:rPr>
                <w:rFonts w:eastAsiaTheme="minorEastAsia" w:cs="Arial"/>
                <w:b/>
                <w:color w:val="000000" w:themeColor="text1"/>
                <w:sz w:val="18"/>
                <w:szCs w:val="18"/>
              </w:rPr>
            </w:pPr>
          </w:p>
          <w:p w14:paraId="2BBA22A0" w14:textId="77777777" w:rsidR="00694040" w:rsidRPr="00C4304F" w:rsidRDefault="00694040" w:rsidP="00C4304F">
            <w:pPr>
              <w:jc w:val="left"/>
              <w:rPr>
                <w:rFonts w:eastAsiaTheme="minorEastAsia" w:cs="Arial"/>
                <w:b/>
                <w:color w:val="000000" w:themeColor="text1"/>
                <w:sz w:val="18"/>
                <w:szCs w:val="18"/>
              </w:rPr>
            </w:pPr>
          </w:p>
          <w:p w14:paraId="0A2C508C" w14:textId="77777777" w:rsidR="00694040" w:rsidRPr="00C4304F" w:rsidRDefault="00694040" w:rsidP="00C4304F">
            <w:pPr>
              <w:jc w:val="left"/>
              <w:rPr>
                <w:rFonts w:eastAsiaTheme="minorEastAsia" w:cs="Arial"/>
                <w:b/>
                <w:color w:val="000000" w:themeColor="text1"/>
                <w:sz w:val="18"/>
                <w:szCs w:val="18"/>
              </w:rPr>
            </w:pPr>
          </w:p>
          <w:p w14:paraId="5C0463E5" w14:textId="77777777" w:rsidR="00694040" w:rsidRPr="00C4304F" w:rsidRDefault="00694040" w:rsidP="00C4304F">
            <w:pPr>
              <w:jc w:val="left"/>
              <w:rPr>
                <w:rFonts w:eastAsiaTheme="minorEastAsia" w:cs="Arial"/>
                <w:b/>
                <w:color w:val="000000" w:themeColor="text1"/>
                <w:sz w:val="18"/>
                <w:szCs w:val="18"/>
              </w:rPr>
            </w:pPr>
          </w:p>
          <w:p w14:paraId="5457E75F" w14:textId="77777777" w:rsidR="00694040" w:rsidRPr="00C4304F" w:rsidRDefault="00694040" w:rsidP="00C4304F">
            <w:pPr>
              <w:jc w:val="left"/>
              <w:rPr>
                <w:rFonts w:eastAsiaTheme="minorEastAsia" w:cs="Arial"/>
                <w:b/>
                <w:color w:val="000000" w:themeColor="text1"/>
                <w:sz w:val="18"/>
                <w:szCs w:val="18"/>
              </w:rPr>
            </w:pPr>
          </w:p>
          <w:p w14:paraId="7273D7F7" w14:textId="77777777" w:rsidR="00694040" w:rsidRPr="00C4304F" w:rsidRDefault="00694040" w:rsidP="00C4304F">
            <w:pPr>
              <w:jc w:val="left"/>
              <w:rPr>
                <w:rFonts w:eastAsiaTheme="minorEastAsia" w:cs="Arial"/>
                <w:b/>
                <w:color w:val="000000" w:themeColor="text1"/>
                <w:sz w:val="18"/>
                <w:szCs w:val="18"/>
              </w:rPr>
            </w:pPr>
          </w:p>
          <w:p w14:paraId="33C490D9" w14:textId="77777777" w:rsidR="00694040" w:rsidRPr="00C4304F" w:rsidRDefault="00694040" w:rsidP="00C4304F">
            <w:pPr>
              <w:jc w:val="left"/>
              <w:rPr>
                <w:rFonts w:eastAsiaTheme="minorEastAsia" w:cs="Arial"/>
                <w:b/>
                <w:color w:val="000000" w:themeColor="text1"/>
                <w:sz w:val="18"/>
                <w:szCs w:val="18"/>
              </w:rPr>
            </w:pPr>
          </w:p>
          <w:p w14:paraId="6A7CEB2E" w14:textId="77777777" w:rsidR="00694040" w:rsidRPr="00C4304F" w:rsidRDefault="00694040" w:rsidP="00C4304F">
            <w:pPr>
              <w:jc w:val="left"/>
              <w:rPr>
                <w:rFonts w:eastAsiaTheme="minorEastAsia" w:cs="Arial"/>
                <w:b/>
                <w:color w:val="000000" w:themeColor="text1"/>
                <w:sz w:val="18"/>
                <w:szCs w:val="18"/>
              </w:rPr>
            </w:pPr>
          </w:p>
          <w:p w14:paraId="0D0F39A0" w14:textId="77777777" w:rsidR="00694040" w:rsidRPr="00C4304F" w:rsidRDefault="00694040" w:rsidP="00C4304F">
            <w:pPr>
              <w:jc w:val="left"/>
              <w:rPr>
                <w:rFonts w:eastAsiaTheme="minorEastAsia" w:cs="Arial"/>
                <w:b/>
                <w:color w:val="000000" w:themeColor="text1"/>
                <w:sz w:val="18"/>
                <w:szCs w:val="18"/>
              </w:rPr>
            </w:pPr>
          </w:p>
          <w:p w14:paraId="712CFD16" w14:textId="77777777" w:rsidR="00694040" w:rsidRPr="00C4304F" w:rsidRDefault="00694040" w:rsidP="00C4304F">
            <w:pPr>
              <w:jc w:val="left"/>
              <w:rPr>
                <w:rFonts w:eastAsiaTheme="minorEastAsia" w:cs="Arial"/>
                <w:b/>
                <w:color w:val="000000" w:themeColor="text1"/>
                <w:sz w:val="18"/>
                <w:szCs w:val="18"/>
              </w:rPr>
            </w:pPr>
          </w:p>
          <w:p w14:paraId="2D671EBF" w14:textId="77777777" w:rsidR="00694040" w:rsidRPr="00C4304F" w:rsidRDefault="00694040" w:rsidP="00C4304F">
            <w:pPr>
              <w:jc w:val="left"/>
              <w:rPr>
                <w:rFonts w:eastAsiaTheme="minorEastAsia" w:cs="Arial"/>
                <w:b/>
                <w:color w:val="000000" w:themeColor="text1"/>
                <w:sz w:val="18"/>
                <w:szCs w:val="18"/>
              </w:rPr>
            </w:pPr>
          </w:p>
          <w:p w14:paraId="33F6F259" w14:textId="77777777" w:rsidR="00210D68" w:rsidRPr="00C4304F" w:rsidRDefault="00210D68" w:rsidP="00C4304F">
            <w:pPr>
              <w:jc w:val="left"/>
              <w:rPr>
                <w:rFonts w:eastAsiaTheme="minorEastAsia" w:cs="Arial"/>
                <w:b/>
                <w:color w:val="000000" w:themeColor="text1"/>
                <w:sz w:val="18"/>
                <w:szCs w:val="18"/>
              </w:rPr>
            </w:pPr>
          </w:p>
          <w:p w14:paraId="272657B6" w14:textId="77777777" w:rsidR="00210D68" w:rsidRPr="00C4304F" w:rsidRDefault="00210D68" w:rsidP="00C4304F">
            <w:pPr>
              <w:jc w:val="left"/>
              <w:rPr>
                <w:rFonts w:eastAsiaTheme="minorEastAsia" w:cs="Arial"/>
                <w:b/>
                <w:color w:val="000000" w:themeColor="text1"/>
                <w:sz w:val="18"/>
                <w:szCs w:val="18"/>
              </w:rPr>
            </w:pPr>
          </w:p>
          <w:p w14:paraId="544226F0" w14:textId="77777777" w:rsidR="00210D68" w:rsidRPr="00C4304F" w:rsidRDefault="00210D68" w:rsidP="00C4304F">
            <w:pPr>
              <w:jc w:val="left"/>
              <w:rPr>
                <w:rFonts w:eastAsiaTheme="minorEastAsia" w:cs="Arial"/>
                <w:b/>
                <w:color w:val="000000" w:themeColor="text1"/>
                <w:sz w:val="18"/>
                <w:szCs w:val="18"/>
              </w:rPr>
            </w:pPr>
          </w:p>
          <w:p w14:paraId="77236813" w14:textId="77777777" w:rsidR="00210D68" w:rsidRPr="00C4304F" w:rsidRDefault="00210D68" w:rsidP="00C4304F">
            <w:pPr>
              <w:jc w:val="left"/>
              <w:rPr>
                <w:rFonts w:eastAsiaTheme="minorEastAsia" w:cs="Arial"/>
                <w:b/>
                <w:color w:val="000000" w:themeColor="text1"/>
                <w:sz w:val="18"/>
                <w:szCs w:val="18"/>
              </w:rPr>
            </w:pPr>
          </w:p>
          <w:p w14:paraId="436F8E09" w14:textId="77777777" w:rsidR="009D251E" w:rsidRPr="00C4304F" w:rsidRDefault="009D251E" w:rsidP="00C4304F">
            <w:pPr>
              <w:jc w:val="left"/>
              <w:rPr>
                <w:rFonts w:eastAsiaTheme="minorEastAsia" w:cs="Arial"/>
                <w:b/>
                <w:color w:val="000000" w:themeColor="text1"/>
                <w:sz w:val="18"/>
                <w:szCs w:val="18"/>
              </w:rPr>
            </w:pPr>
          </w:p>
          <w:p w14:paraId="4D4C0E20" w14:textId="77777777" w:rsidR="00210D68" w:rsidRPr="00C4304F" w:rsidRDefault="00210D68" w:rsidP="00C4304F">
            <w:pPr>
              <w:jc w:val="left"/>
              <w:rPr>
                <w:rFonts w:eastAsiaTheme="minorEastAsia" w:cs="Arial"/>
                <w:b/>
                <w:color w:val="000000" w:themeColor="text1"/>
                <w:sz w:val="18"/>
                <w:szCs w:val="18"/>
              </w:rPr>
            </w:pPr>
          </w:p>
          <w:p w14:paraId="6CDFE644" w14:textId="77777777" w:rsidR="00210D68" w:rsidRPr="00C4304F" w:rsidRDefault="00210D68" w:rsidP="00C4304F">
            <w:pPr>
              <w:jc w:val="left"/>
              <w:rPr>
                <w:rFonts w:eastAsiaTheme="minorEastAsia" w:cs="Arial"/>
                <w:b/>
                <w:color w:val="000000" w:themeColor="text1"/>
                <w:sz w:val="18"/>
                <w:szCs w:val="18"/>
              </w:rPr>
            </w:pPr>
          </w:p>
          <w:p w14:paraId="36BF5F2C" w14:textId="77777777" w:rsidR="00210D68" w:rsidRPr="00C4304F" w:rsidRDefault="00210D68" w:rsidP="00C4304F">
            <w:pPr>
              <w:jc w:val="left"/>
              <w:rPr>
                <w:rFonts w:eastAsiaTheme="minorEastAsia" w:cs="Arial"/>
                <w:b/>
                <w:color w:val="000000" w:themeColor="text1"/>
                <w:sz w:val="18"/>
                <w:szCs w:val="18"/>
              </w:rPr>
            </w:pPr>
          </w:p>
          <w:p w14:paraId="2462D7B0" w14:textId="77777777" w:rsidR="00210D68" w:rsidRPr="00C4304F" w:rsidRDefault="00210D68" w:rsidP="00C4304F">
            <w:pPr>
              <w:jc w:val="left"/>
              <w:rPr>
                <w:rFonts w:eastAsiaTheme="minorEastAsia" w:cs="Arial"/>
                <w:b/>
                <w:color w:val="000000" w:themeColor="text1"/>
                <w:sz w:val="18"/>
                <w:szCs w:val="18"/>
              </w:rPr>
            </w:pPr>
          </w:p>
          <w:p w14:paraId="36B38314" w14:textId="77777777" w:rsidR="00694040" w:rsidRDefault="00694040" w:rsidP="00C4304F">
            <w:pPr>
              <w:jc w:val="left"/>
              <w:rPr>
                <w:rFonts w:eastAsiaTheme="minorEastAsia" w:cs="Arial"/>
                <w:b/>
                <w:color w:val="000000" w:themeColor="text1"/>
                <w:sz w:val="18"/>
                <w:szCs w:val="18"/>
              </w:rPr>
            </w:pPr>
          </w:p>
          <w:p w14:paraId="65CA4368" w14:textId="77777777" w:rsidR="00A74EFD" w:rsidRDefault="00A74EFD" w:rsidP="00C4304F">
            <w:pPr>
              <w:jc w:val="left"/>
              <w:rPr>
                <w:rFonts w:eastAsiaTheme="minorEastAsia" w:cs="Arial"/>
                <w:b/>
                <w:color w:val="000000" w:themeColor="text1"/>
                <w:sz w:val="18"/>
                <w:szCs w:val="18"/>
              </w:rPr>
            </w:pPr>
          </w:p>
          <w:p w14:paraId="6CF5C85E" w14:textId="5307B827" w:rsidR="00A74EFD" w:rsidRDefault="00A74EFD" w:rsidP="00C4304F">
            <w:pPr>
              <w:jc w:val="left"/>
              <w:rPr>
                <w:rFonts w:eastAsiaTheme="minorEastAsia" w:cs="Arial"/>
                <w:b/>
                <w:color w:val="000000" w:themeColor="text1"/>
                <w:sz w:val="18"/>
                <w:szCs w:val="18"/>
              </w:rPr>
            </w:pPr>
          </w:p>
          <w:p w14:paraId="6A309671" w14:textId="46416BF5" w:rsidR="00956478" w:rsidRDefault="00956478" w:rsidP="00C4304F">
            <w:pPr>
              <w:jc w:val="left"/>
              <w:rPr>
                <w:rFonts w:eastAsiaTheme="minorEastAsia" w:cs="Arial"/>
                <w:b/>
                <w:color w:val="000000" w:themeColor="text1"/>
                <w:sz w:val="18"/>
                <w:szCs w:val="18"/>
              </w:rPr>
            </w:pPr>
          </w:p>
          <w:p w14:paraId="56D76640" w14:textId="207A93B2" w:rsidR="00ED070C" w:rsidRDefault="00ED070C" w:rsidP="00C4304F">
            <w:pPr>
              <w:jc w:val="left"/>
              <w:rPr>
                <w:rFonts w:eastAsiaTheme="minorEastAsia" w:cs="Arial"/>
                <w:b/>
                <w:color w:val="000000" w:themeColor="text1"/>
                <w:sz w:val="18"/>
                <w:szCs w:val="18"/>
              </w:rPr>
            </w:pPr>
          </w:p>
          <w:p w14:paraId="1980E377" w14:textId="00A310DE" w:rsidR="00ED070C" w:rsidRDefault="00ED070C" w:rsidP="00C4304F">
            <w:pPr>
              <w:jc w:val="left"/>
              <w:rPr>
                <w:rFonts w:eastAsiaTheme="minorEastAsia" w:cs="Arial"/>
                <w:b/>
                <w:color w:val="000000" w:themeColor="text1"/>
                <w:sz w:val="18"/>
                <w:szCs w:val="18"/>
              </w:rPr>
            </w:pPr>
          </w:p>
          <w:p w14:paraId="0ACAD6D0" w14:textId="77777777" w:rsidR="00ED070C" w:rsidRDefault="00ED070C" w:rsidP="00C4304F">
            <w:pPr>
              <w:jc w:val="left"/>
              <w:rPr>
                <w:rFonts w:eastAsiaTheme="minorEastAsia" w:cs="Arial"/>
                <w:b/>
                <w:color w:val="000000" w:themeColor="text1"/>
                <w:sz w:val="18"/>
                <w:szCs w:val="18"/>
              </w:rPr>
            </w:pPr>
          </w:p>
          <w:p w14:paraId="0EFB0C4C" w14:textId="50137F4C" w:rsidR="00956478" w:rsidRDefault="00956478" w:rsidP="00C4304F">
            <w:pPr>
              <w:jc w:val="left"/>
              <w:rPr>
                <w:rFonts w:eastAsiaTheme="minorEastAsia" w:cs="Arial"/>
                <w:b/>
                <w:color w:val="000000" w:themeColor="text1"/>
                <w:sz w:val="18"/>
                <w:szCs w:val="18"/>
              </w:rPr>
            </w:pPr>
          </w:p>
          <w:p w14:paraId="17076F96" w14:textId="77777777" w:rsidR="00956478" w:rsidRDefault="00956478" w:rsidP="00C4304F">
            <w:pPr>
              <w:jc w:val="left"/>
              <w:rPr>
                <w:rFonts w:eastAsiaTheme="minorEastAsia" w:cs="Arial"/>
                <w:b/>
                <w:color w:val="000000" w:themeColor="text1"/>
                <w:sz w:val="18"/>
                <w:szCs w:val="18"/>
              </w:rPr>
            </w:pPr>
          </w:p>
          <w:p w14:paraId="2E56A861" w14:textId="77777777" w:rsidR="00A74EFD" w:rsidRDefault="00A74EFD" w:rsidP="00C4304F">
            <w:pPr>
              <w:jc w:val="left"/>
              <w:rPr>
                <w:rFonts w:eastAsiaTheme="minorEastAsia" w:cs="Arial"/>
                <w:b/>
                <w:color w:val="000000" w:themeColor="text1"/>
                <w:sz w:val="18"/>
                <w:szCs w:val="18"/>
              </w:rPr>
            </w:pPr>
          </w:p>
          <w:p w14:paraId="357C75D5" w14:textId="77777777" w:rsidR="00A74EFD" w:rsidRDefault="00A74EFD" w:rsidP="00C4304F">
            <w:pPr>
              <w:jc w:val="left"/>
              <w:rPr>
                <w:rFonts w:eastAsiaTheme="minorEastAsia" w:cs="Arial"/>
                <w:b/>
                <w:color w:val="000000" w:themeColor="text1"/>
                <w:sz w:val="18"/>
                <w:szCs w:val="18"/>
              </w:rPr>
            </w:pPr>
          </w:p>
          <w:p w14:paraId="48992794" w14:textId="77777777" w:rsidR="00A74EFD" w:rsidRPr="00C4304F" w:rsidRDefault="00A74EFD" w:rsidP="00C4304F">
            <w:pPr>
              <w:jc w:val="left"/>
              <w:rPr>
                <w:rFonts w:eastAsiaTheme="minorEastAsia" w:cs="Arial"/>
                <w:b/>
                <w:color w:val="000000" w:themeColor="text1"/>
                <w:sz w:val="18"/>
                <w:szCs w:val="18"/>
              </w:rPr>
            </w:pPr>
          </w:p>
          <w:p w14:paraId="0DCAB714" w14:textId="1321D2D9" w:rsidR="00694040" w:rsidRPr="00C4304F" w:rsidRDefault="00694040" w:rsidP="00C4304F">
            <w:pPr>
              <w:jc w:val="left"/>
              <w:rPr>
                <w:rFonts w:eastAsiaTheme="minorEastAsia" w:cs="Arial"/>
                <w:b/>
                <w:color w:val="000000" w:themeColor="text1"/>
                <w:sz w:val="18"/>
                <w:szCs w:val="18"/>
              </w:rPr>
            </w:pPr>
            <w:r w:rsidRPr="00C4304F">
              <w:rPr>
                <w:rFonts w:cs="Arial"/>
                <w:sz w:val="18"/>
                <w:szCs w:val="18"/>
              </w:rPr>
              <w:t xml:space="preserve">3. </w:t>
            </w:r>
            <w:r w:rsidR="009D251E" w:rsidRPr="00C4304F">
              <w:rPr>
                <w:rFonts w:cs="Arial"/>
                <w:sz w:val="18"/>
                <w:szCs w:val="18"/>
              </w:rPr>
              <w:t>Adequacy and fiscal sustainability of social protection programs strengthened</w:t>
            </w:r>
          </w:p>
        </w:tc>
        <w:tc>
          <w:tcPr>
            <w:tcW w:w="3780" w:type="dxa"/>
          </w:tcPr>
          <w:p w14:paraId="387B870B" w14:textId="39254744" w:rsidR="00694040" w:rsidRPr="00C4304F" w:rsidRDefault="6E22D558" w:rsidP="00C4304F">
            <w:pPr>
              <w:autoSpaceDE w:val="0"/>
              <w:autoSpaceDN w:val="0"/>
              <w:adjustRightInd w:val="0"/>
              <w:jc w:val="left"/>
              <w:rPr>
                <w:rFonts w:cs="Arial"/>
                <w:color w:val="000000" w:themeColor="text1"/>
                <w:sz w:val="18"/>
                <w:szCs w:val="18"/>
              </w:rPr>
            </w:pPr>
            <w:r w:rsidRPr="00C4304F">
              <w:rPr>
                <w:rFonts w:eastAsiaTheme="minorEastAsia" w:cs="Arial"/>
                <w:b/>
                <w:color w:val="000000" w:themeColor="text1"/>
                <w:sz w:val="18"/>
                <w:szCs w:val="18"/>
              </w:rPr>
              <w:t>Policy Actions</w:t>
            </w:r>
            <w:r w:rsidR="00FA1515" w:rsidRPr="00C4304F">
              <w:rPr>
                <w:rFonts w:eastAsiaTheme="minorEastAsia" w:cs="Arial"/>
                <w:b/>
                <w:color w:val="000000" w:themeColor="text1"/>
                <w:sz w:val="18"/>
                <w:szCs w:val="18"/>
              </w:rPr>
              <w:t>, by October 2020:</w:t>
            </w:r>
          </w:p>
          <w:p w14:paraId="7B888FF1" w14:textId="77777777" w:rsidR="0053788A" w:rsidRPr="00C4304F" w:rsidRDefault="0053788A" w:rsidP="00C4304F">
            <w:pPr>
              <w:autoSpaceDE w:val="0"/>
              <w:autoSpaceDN w:val="0"/>
              <w:adjustRightInd w:val="0"/>
              <w:jc w:val="left"/>
              <w:rPr>
                <w:rFonts w:cs="Arial"/>
                <w:color w:val="000000" w:themeColor="text1"/>
                <w:sz w:val="18"/>
                <w:szCs w:val="18"/>
              </w:rPr>
            </w:pPr>
          </w:p>
          <w:p w14:paraId="1664A848" w14:textId="77777777" w:rsidR="00B11987" w:rsidRPr="00C4304F" w:rsidRDefault="00B11987" w:rsidP="00C4304F">
            <w:pPr>
              <w:autoSpaceDE w:val="0"/>
              <w:autoSpaceDN w:val="0"/>
              <w:adjustRightInd w:val="0"/>
              <w:jc w:val="left"/>
              <w:rPr>
                <w:rFonts w:cs="Arial"/>
                <w:color w:val="000000" w:themeColor="text1"/>
                <w:sz w:val="18"/>
                <w:szCs w:val="18"/>
              </w:rPr>
            </w:pPr>
          </w:p>
          <w:p w14:paraId="7B442109" w14:textId="56AF160B" w:rsidR="00694040" w:rsidRPr="00C4304F" w:rsidRDefault="00A34849" w:rsidP="00C4304F">
            <w:pPr>
              <w:autoSpaceDE w:val="0"/>
              <w:autoSpaceDN w:val="0"/>
              <w:adjustRightInd w:val="0"/>
              <w:jc w:val="left"/>
              <w:rPr>
                <w:rFonts w:eastAsiaTheme="minorEastAsia" w:cs="Arial"/>
                <w:color w:val="000000" w:themeColor="text1"/>
                <w:sz w:val="18"/>
                <w:szCs w:val="18"/>
              </w:rPr>
            </w:pPr>
            <w:r w:rsidRPr="00A34849">
              <w:rPr>
                <w:rFonts w:cs="Arial"/>
                <w:sz w:val="18"/>
                <w:szCs w:val="18"/>
              </w:rPr>
              <w:t>MOF fully operationalized a dedicated Fiscal Risk Management Division, which assess and quantify public exposure to fiscal risks stemming from SOEs and PPPs which are more likely to materialize as a result of the COVID-19 crisis, staffed with at least 7 technical staff of which at least 75% are women.</w:t>
            </w:r>
            <w:r w:rsidR="008679ED" w:rsidRPr="00C4304F">
              <w:rPr>
                <w:rFonts w:cs="Arial"/>
                <w:sz w:val="18"/>
                <w:szCs w:val="18"/>
              </w:rPr>
              <w:t xml:space="preserve"> </w:t>
            </w:r>
            <w:r w:rsidR="000D6C7F" w:rsidRPr="00C4304F">
              <w:rPr>
                <w:rFonts w:cs="Arial"/>
                <w:sz w:val="18"/>
                <w:szCs w:val="18"/>
              </w:rPr>
              <w:t xml:space="preserve">(October </w:t>
            </w:r>
            <w:r w:rsidR="006B3834" w:rsidRPr="00C4304F">
              <w:rPr>
                <w:rFonts w:cs="Arial"/>
                <w:sz w:val="18"/>
                <w:szCs w:val="18"/>
              </w:rPr>
              <w:t>2018</w:t>
            </w:r>
            <w:r w:rsidR="000D6C7F" w:rsidRPr="00C4304F">
              <w:rPr>
                <w:rFonts w:cs="Arial"/>
                <w:sz w:val="18"/>
                <w:szCs w:val="18"/>
              </w:rPr>
              <w:t xml:space="preserve"> baseline:</w:t>
            </w:r>
            <w:r w:rsidR="00AA119A" w:rsidRPr="00C4304F">
              <w:rPr>
                <w:rFonts w:cs="Arial"/>
                <w:sz w:val="18"/>
                <w:szCs w:val="18"/>
              </w:rPr>
              <w:t xml:space="preserve"> </w:t>
            </w:r>
            <w:r w:rsidR="009C0F2C" w:rsidRPr="00C4304F">
              <w:rPr>
                <w:rFonts w:cs="Arial"/>
                <w:sz w:val="18"/>
                <w:szCs w:val="18"/>
              </w:rPr>
              <w:t>FRM</w:t>
            </w:r>
            <w:r>
              <w:rPr>
                <w:rFonts w:cs="Arial"/>
                <w:sz w:val="18"/>
                <w:szCs w:val="18"/>
              </w:rPr>
              <w:t>D</w:t>
            </w:r>
            <w:r w:rsidR="009C0F2C" w:rsidRPr="00C4304F">
              <w:rPr>
                <w:rFonts w:cs="Arial"/>
                <w:sz w:val="18"/>
                <w:szCs w:val="18"/>
              </w:rPr>
              <w:t xml:space="preserve"> staffed with 1 person</w:t>
            </w:r>
            <w:r w:rsidR="004D2084" w:rsidRPr="00C4304F">
              <w:rPr>
                <w:rFonts w:cs="Arial"/>
                <w:sz w:val="18"/>
                <w:szCs w:val="18"/>
              </w:rPr>
              <w:t>)</w:t>
            </w:r>
            <w:r w:rsidR="000D6C7F" w:rsidRPr="00C4304F">
              <w:rPr>
                <w:rFonts w:cs="Arial"/>
                <w:sz w:val="18"/>
                <w:szCs w:val="18"/>
              </w:rPr>
              <w:t xml:space="preserve"> </w:t>
            </w:r>
          </w:p>
          <w:p w14:paraId="7FB44AC8" w14:textId="77777777" w:rsidR="00694040" w:rsidRPr="00C4304F" w:rsidRDefault="00694040" w:rsidP="00C4304F">
            <w:pPr>
              <w:autoSpaceDE w:val="0"/>
              <w:autoSpaceDN w:val="0"/>
              <w:adjustRightInd w:val="0"/>
              <w:jc w:val="left"/>
              <w:rPr>
                <w:rFonts w:eastAsiaTheme="minorEastAsia" w:cs="Arial"/>
                <w:color w:val="000000" w:themeColor="text1"/>
                <w:sz w:val="18"/>
                <w:szCs w:val="18"/>
              </w:rPr>
            </w:pPr>
          </w:p>
          <w:p w14:paraId="42A5C5E1" w14:textId="4B161B40" w:rsidR="00694040" w:rsidRPr="00C4304F" w:rsidRDefault="000C08AA" w:rsidP="00C4304F">
            <w:pPr>
              <w:autoSpaceDE w:val="0"/>
              <w:autoSpaceDN w:val="0"/>
              <w:adjustRightInd w:val="0"/>
              <w:jc w:val="left"/>
              <w:rPr>
                <w:rFonts w:eastAsiaTheme="minorEastAsia" w:cs="Arial"/>
                <w:color w:val="000000" w:themeColor="text1"/>
                <w:sz w:val="18"/>
                <w:szCs w:val="18"/>
              </w:rPr>
            </w:pPr>
            <w:r w:rsidRPr="000C08AA">
              <w:rPr>
                <w:rFonts w:cs="Arial"/>
                <w:sz w:val="18"/>
                <w:szCs w:val="18"/>
              </w:rPr>
              <w:t>MOF approved PPP Guidelines which include methodological guidelines for the assessment of contingent liabilities and VfM methodology for PPP evaluations and completes PPP framework that ensures adequate identification, monitoring and reporting of fiscal risk stemming from PPPs.</w:t>
            </w:r>
            <w:r>
              <w:rPr>
                <w:rFonts w:cs="Arial"/>
                <w:sz w:val="18"/>
                <w:szCs w:val="18"/>
              </w:rPr>
              <w:t xml:space="preserve"> </w:t>
            </w:r>
            <w:r w:rsidR="007917DB" w:rsidRPr="00C4304F">
              <w:rPr>
                <w:rFonts w:eastAsiaTheme="minorEastAsia" w:cs="Arial"/>
                <w:color w:val="000000" w:themeColor="text1"/>
                <w:sz w:val="18"/>
                <w:szCs w:val="18"/>
              </w:rPr>
              <w:t xml:space="preserve"> (June 2020 baseline: No PPP </w:t>
            </w:r>
            <w:r w:rsidR="003807F0" w:rsidRPr="00C4304F">
              <w:rPr>
                <w:rFonts w:eastAsiaTheme="minorEastAsia" w:cs="Arial"/>
                <w:color w:val="000000" w:themeColor="text1"/>
                <w:sz w:val="18"/>
                <w:szCs w:val="18"/>
              </w:rPr>
              <w:t>Guidelines</w:t>
            </w:r>
            <w:r w:rsidR="00EB7DF5" w:rsidRPr="00C4304F">
              <w:rPr>
                <w:rFonts w:eastAsiaTheme="minorEastAsia" w:cs="Arial"/>
                <w:color w:val="000000" w:themeColor="text1"/>
                <w:sz w:val="18"/>
                <w:szCs w:val="18"/>
              </w:rPr>
              <w:t xml:space="preserve"> or VfM methodology approved)</w:t>
            </w:r>
          </w:p>
          <w:p w14:paraId="766E0CD5" w14:textId="77777777" w:rsidR="00B77CFC" w:rsidRPr="00C4304F" w:rsidRDefault="00B77CFC" w:rsidP="00C4304F">
            <w:pPr>
              <w:autoSpaceDE w:val="0"/>
              <w:autoSpaceDN w:val="0"/>
              <w:adjustRightInd w:val="0"/>
              <w:jc w:val="left"/>
              <w:rPr>
                <w:rFonts w:eastAsiaTheme="minorEastAsia" w:cs="Arial"/>
                <w:color w:val="000000" w:themeColor="text1"/>
                <w:sz w:val="18"/>
                <w:szCs w:val="18"/>
              </w:rPr>
            </w:pPr>
          </w:p>
          <w:p w14:paraId="47C5745B" w14:textId="420C97DB" w:rsidR="00CB59C9" w:rsidRPr="00AC4907" w:rsidRDefault="00AC4907" w:rsidP="00C4304F">
            <w:pPr>
              <w:autoSpaceDE w:val="0"/>
              <w:autoSpaceDN w:val="0"/>
              <w:adjustRightInd w:val="0"/>
              <w:jc w:val="left"/>
              <w:rPr>
                <w:rFonts w:cs="Arial"/>
                <w:sz w:val="18"/>
                <w:szCs w:val="18"/>
              </w:rPr>
            </w:pPr>
            <w:r w:rsidRPr="00AC4907">
              <w:rPr>
                <w:rFonts w:eastAsiaTheme="minorEastAsia" w:cs="Arial"/>
                <w:color w:val="000000" w:themeColor="text1"/>
                <w:sz w:val="18"/>
                <w:szCs w:val="18"/>
              </w:rPr>
              <w:t>MOF, through the Fiscal Risk Management Division, expanded the scope of the Fiscal Risk Statement to include (i) disclosure and discussion of methodological instructions to identify, quantify, finance and report Quasi Fiscal Activities of SOEs; (ii) assessment of impact of COVID-19 on the likelihood that fiscal risks stemming from SOEs materialize in the short-medium term; (iii) expansion of fiscal risk analysis of SOEs from 12 to 13 individual SOEs; (iv) discussion on effect of SOE sectorization on Public Finance Statistics, including impact on public debt Law; (v) analysis of SOEs from sectoral perspective, with the aim of normalizing financial statements from SOEs; (vi) assessment of stock of PPP liabilities based on International Public Sector Accounting Standards (IPSAS32) and VfM methodology for PPPs included in the recently approved PPP guidelines; (vii) Include draft discussion of fiscal risks stemming from natural disasters affecting municipalities.</w:t>
            </w:r>
            <w:r w:rsidR="008A2991" w:rsidRPr="00C4304F">
              <w:rPr>
                <w:rFonts w:eastAsiaTheme="minorEastAsia" w:cs="Arial"/>
                <w:color w:val="000000" w:themeColor="text1"/>
                <w:sz w:val="18"/>
                <w:szCs w:val="18"/>
              </w:rPr>
              <w:t xml:space="preserve">(August 2020 baseline: Scope </w:t>
            </w:r>
            <w:r w:rsidR="003F506F" w:rsidRPr="00C4304F">
              <w:rPr>
                <w:rFonts w:eastAsiaTheme="minorEastAsia" w:cs="Arial"/>
                <w:color w:val="000000" w:themeColor="text1"/>
                <w:sz w:val="18"/>
                <w:szCs w:val="18"/>
              </w:rPr>
              <w:t>of 2019 FRS does not include</w:t>
            </w:r>
            <w:r w:rsidR="00814BC4" w:rsidRPr="00C4304F">
              <w:rPr>
                <w:rFonts w:eastAsiaTheme="minorEastAsia" w:cs="Arial"/>
                <w:color w:val="000000" w:themeColor="text1"/>
                <w:sz w:val="18"/>
                <w:szCs w:val="18"/>
              </w:rPr>
              <w:t xml:space="preserve"> these</w:t>
            </w:r>
            <w:r w:rsidR="003F506F" w:rsidRPr="00C4304F">
              <w:rPr>
                <w:rFonts w:eastAsiaTheme="minorEastAsia" w:cs="Arial"/>
                <w:color w:val="000000" w:themeColor="text1"/>
                <w:sz w:val="18"/>
                <w:szCs w:val="18"/>
              </w:rPr>
              <w:t xml:space="preserve"> </w:t>
            </w:r>
            <w:r w:rsidR="00814BC4" w:rsidRPr="00C4304F">
              <w:rPr>
                <w:rFonts w:eastAsiaTheme="minorEastAsia" w:cs="Arial"/>
                <w:color w:val="000000" w:themeColor="text1"/>
                <w:sz w:val="18"/>
                <w:szCs w:val="18"/>
              </w:rPr>
              <w:t>analys</w:t>
            </w:r>
            <w:r w:rsidR="164148D8" w:rsidRPr="00C4304F">
              <w:rPr>
                <w:rFonts w:eastAsiaTheme="minorEastAsia" w:cs="Arial"/>
                <w:color w:val="000000" w:themeColor="text1"/>
                <w:sz w:val="18"/>
                <w:szCs w:val="18"/>
              </w:rPr>
              <w:t>e</w:t>
            </w:r>
            <w:r w:rsidR="00814BC4" w:rsidRPr="00C4304F">
              <w:rPr>
                <w:rFonts w:eastAsiaTheme="minorEastAsia" w:cs="Arial"/>
                <w:color w:val="000000" w:themeColor="text1"/>
                <w:sz w:val="18"/>
                <w:szCs w:val="18"/>
              </w:rPr>
              <w:t>s)</w:t>
            </w:r>
          </w:p>
          <w:p w14:paraId="38049B66" w14:textId="77777777" w:rsidR="00915D82" w:rsidRPr="00C4304F" w:rsidRDefault="00915D82" w:rsidP="00C4304F">
            <w:pPr>
              <w:autoSpaceDE w:val="0"/>
              <w:autoSpaceDN w:val="0"/>
              <w:adjustRightInd w:val="0"/>
              <w:jc w:val="left"/>
              <w:rPr>
                <w:rFonts w:eastAsiaTheme="minorEastAsia" w:cs="Arial"/>
                <w:color w:val="000000" w:themeColor="text1"/>
                <w:sz w:val="18"/>
                <w:szCs w:val="18"/>
              </w:rPr>
            </w:pPr>
          </w:p>
          <w:p w14:paraId="0D3B65FA" w14:textId="0216CACA" w:rsidR="006734CC" w:rsidRPr="00C4304F" w:rsidRDefault="00A15E61" w:rsidP="00C4304F">
            <w:pPr>
              <w:autoSpaceDE w:val="0"/>
              <w:autoSpaceDN w:val="0"/>
              <w:adjustRightInd w:val="0"/>
              <w:jc w:val="left"/>
              <w:rPr>
                <w:rFonts w:cs="Arial"/>
                <w:sz w:val="18"/>
                <w:szCs w:val="18"/>
              </w:rPr>
            </w:pPr>
            <w:r w:rsidRPr="00A15E61">
              <w:rPr>
                <w:rFonts w:cs="Arial"/>
                <w:sz w:val="18"/>
                <w:szCs w:val="18"/>
              </w:rPr>
              <w:t>MOF and NBG commenced Primary Dealer Pilot with appropriate rights and obligations and PD rules published and Primary Dealers System to promote activity on the primary and secondary markets, ensuring decreased public reliance on external debt to finance future fiscal stimulus packages as the one needed to mitigate the adverse socio-economic impacts of COVID-19.</w:t>
            </w:r>
            <w:r w:rsidR="00A800D9" w:rsidRPr="00C4304F">
              <w:rPr>
                <w:rFonts w:cs="Arial"/>
                <w:sz w:val="18"/>
                <w:szCs w:val="18"/>
              </w:rPr>
              <w:t>.(</w:t>
            </w:r>
            <w:r w:rsidR="005B395C" w:rsidRPr="00C4304F">
              <w:rPr>
                <w:rFonts w:cs="Arial"/>
                <w:sz w:val="18"/>
                <w:szCs w:val="18"/>
              </w:rPr>
              <w:t>September 2020 baseline: No Primary Dealer Pilot in place)</w:t>
            </w:r>
          </w:p>
          <w:p w14:paraId="3002D69B" w14:textId="77777777" w:rsidR="006D40F8" w:rsidRPr="00C4304F" w:rsidRDefault="006D40F8" w:rsidP="00C4304F">
            <w:pPr>
              <w:autoSpaceDE w:val="0"/>
              <w:autoSpaceDN w:val="0"/>
              <w:adjustRightInd w:val="0"/>
              <w:jc w:val="left"/>
              <w:rPr>
                <w:rFonts w:cs="Arial"/>
                <w:sz w:val="18"/>
                <w:szCs w:val="18"/>
              </w:rPr>
            </w:pPr>
          </w:p>
          <w:p w14:paraId="6A45FFE2" w14:textId="282A13B8" w:rsidR="0091708A" w:rsidRPr="00C4304F" w:rsidRDefault="00121D65" w:rsidP="00C4304F">
            <w:pPr>
              <w:autoSpaceDE w:val="0"/>
              <w:autoSpaceDN w:val="0"/>
              <w:adjustRightInd w:val="0"/>
              <w:jc w:val="left"/>
              <w:rPr>
                <w:rFonts w:eastAsiaTheme="minorEastAsia" w:cs="Arial"/>
                <w:color w:val="000000" w:themeColor="text1"/>
                <w:sz w:val="18"/>
                <w:szCs w:val="18"/>
              </w:rPr>
            </w:pPr>
            <w:r w:rsidRPr="00121D65">
              <w:rPr>
                <w:rFonts w:eastAsiaTheme="minorEastAsia" w:cs="Arial"/>
                <w:color w:val="000000" w:themeColor="text1"/>
                <w:sz w:val="18"/>
                <w:szCs w:val="18"/>
              </w:rPr>
              <w:t>MOF issued ministerial decree which mandates that the Debt Management Strategy is updated, approved and published on its website on an annual basis to increase predictability of the market for government domestic debt securities</w:t>
            </w:r>
            <w:r w:rsidR="0091708A" w:rsidRPr="00C4304F">
              <w:rPr>
                <w:rFonts w:eastAsiaTheme="minorEastAsia" w:cs="Arial"/>
                <w:color w:val="000000" w:themeColor="text1"/>
                <w:sz w:val="18"/>
                <w:szCs w:val="18"/>
              </w:rPr>
              <w:t>.</w:t>
            </w:r>
            <w:r w:rsidR="000A13EB" w:rsidRPr="00C4304F">
              <w:rPr>
                <w:rFonts w:eastAsiaTheme="minorEastAsia" w:cs="Arial"/>
                <w:color w:val="000000" w:themeColor="text1"/>
                <w:sz w:val="18"/>
                <w:szCs w:val="18"/>
              </w:rPr>
              <w:t xml:space="preserve"> (2018 baseline: No </w:t>
            </w:r>
            <w:r w:rsidR="00F061A2">
              <w:rPr>
                <w:rFonts w:eastAsiaTheme="minorEastAsia" w:cs="Arial"/>
                <w:color w:val="000000" w:themeColor="text1"/>
                <w:sz w:val="18"/>
                <w:szCs w:val="18"/>
              </w:rPr>
              <w:t xml:space="preserve">decree mandating </w:t>
            </w:r>
            <w:r w:rsidR="00956478">
              <w:rPr>
                <w:rFonts w:eastAsiaTheme="minorEastAsia" w:cs="Arial"/>
                <w:color w:val="000000" w:themeColor="text1"/>
                <w:sz w:val="18"/>
                <w:szCs w:val="18"/>
              </w:rPr>
              <w:t>annual updating and publishing of the Debt Management Strategy</w:t>
            </w:r>
            <w:r w:rsidR="000A13EB" w:rsidRPr="00C4304F">
              <w:rPr>
                <w:rFonts w:eastAsiaTheme="minorEastAsia" w:cs="Arial"/>
                <w:color w:val="000000" w:themeColor="text1"/>
                <w:sz w:val="18"/>
                <w:szCs w:val="18"/>
              </w:rPr>
              <w:t>)</w:t>
            </w:r>
          </w:p>
          <w:p w14:paraId="4DA803C9" w14:textId="77777777" w:rsidR="008D3A98" w:rsidRPr="00C4304F" w:rsidRDefault="008D3A98" w:rsidP="00C4304F">
            <w:pPr>
              <w:autoSpaceDE w:val="0"/>
              <w:autoSpaceDN w:val="0"/>
              <w:adjustRightInd w:val="0"/>
              <w:jc w:val="left"/>
              <w:rPr>
                <w:rFonts w:eastAsiaTheme="minorEastAsia" w:cs="Arial"/>
                <w:color w:val="000000" w:themeColor="text1"/>
                <w:sz w:val="18"/>
                <w:szCs w:val="18"/>
              </w:rPr>
            </w:pPr>
          </w:p>
          <w:p w14:paraId="4934F3C6" w14:textId="67A0E455" w:rsidR="008D3A98" w:rsidRPr="00C4304F" w:rsidRDefault="00F061A2" w:rsidP="00C4304F">
            <w:pPr>
              <w:autoSpaceDE w:val="0"/>
              <w:autoSpaceDN w:val="0"/>
              <w:adjustRightInd w:val="0"/>
              <w:jc w:val="left"/>
              <w:rPr>
                <w:rFonts w:eastAsiaTheme="minorEastAsia" w:cs="Arial"/>
                <w:color w:val="000000" w:themeColor="text1"/>
                <w:sz w:val="18"/>
                <w:szCs w:val="18"/>
              </w:rPr>
            </w:pPr>
            <w:r w:rsidRPr="00F061A2">
              <w:rPr>
                <w:rFonts w:eastAsiaTheme="minorEastAsia" w:cs="Arial"/>
                <w:color w:val="000000" w:themeColor="text1"/>
                <w:sz w:val="18"/>
                <w:szCs w:val="18"/>
              </w:rPr>
              <w:t>MOF issued benchmark bonds with nominal value of at least GEL2 billion in 2020 to increase investor interest towards Georgian government securities and promote capital market development, which in turn ensures the growth of GEL liquidity</w:t>
            </w:r>
            <w:r w:rsidR="008D3A98" w:rsidRPr="00C4304F">
              <w:rPr>
                <w:rFonts w:eastAsiaTheme="minorEastAsia" w:cs="Arial"/>
                <w:color w:val="000000" w:themeColor="text1"/>
                <w:sz w:val="18"/>
                <w:szCs w:val="18"/>
              </w:rPr>
              <w:t xml:space="preserve">. </w:t>
            </w:r>
          </w:p>
          <w:p w14:paraId="1E25E581" w14:textId="3F5FA347" w:rsidR="00694040" w:rsidRPr="00C4304F" w:rsidRDefault="00A84346" w:rsidP="00C4304F">
            <w:pPr>
              <w:autoSpaceDE w:val="0"/>
              <w:autoSpaceDN w:val="0"/>
              <w:adjustRightInd w:val="0"/>
              <w:jc w:val="left"/>
              <w:rPr>
                <w:rFonts w:eastAsiaTheme="minorEastAsia" w:cs="Arial"/>
                <w:color w:val="000000" w:themeColor="text1"/>
                <w:sz w:val="18"/>
                <w:szCs w:val="18"/>
              </w:rPr>
            </w:pPr>
            <w:r w:rsidRPr="00C4304F">
              <w:rPr>
                <w:rFonts w:eastAsiaTheme="minorEastAsia" w:cs="Arial"/>
                <w:color w:val="000000" w:themeColor="text1"/>
                <w:sz w:val="18"/>
                <w:szCs w:val="18"/>
              </w:rPr>
              <w:t xml:space="preserve"> (</w:t>
            </w:r>
            <w:r w:rsidR="0045208F" w:rsidRPr="00C4304F">
              <w:rPr>
                <w:rFonts w:eastAsiaTheme="minorEastAsia" w:cs="Arial"/>
                <w:color w:val="000000" w:themeColor="text1"/>
                <w:sz w:val="18"/>
                <w:szCs w:val="18"/>
              </w:rPr>
              <w:t>2018</w:t>
            </w:r>
            <w:r w:rsidRPr="00C4304F">
              <w:rPr>
                <w:rFonts w:eastAsiaTheme="minorEastAsia" w:cs="Arial"/>
                <w:color w:val="000000" w:themeColor="text1"/>
                <w:sz w:val="18"/>
                <w:szCs w:val="18"/>
              </w:rPr>
              <w:t xml:space="preserve"> baseline: </w:t>
            </w:r>
            <w:r w:rsidR="0045208F" w:rsidRPr="00C4304F">
              <w:rPr>
                <w:rFonts w:eastAsiaTheme="minorEastAsia" w:cs="Arial"/>
                <w:color w:val="000000" w:themeColor="text1"/>
                <w:sz w:val="18"/>
                <w:szCs w:val="18"/>
              </w:rPr>
              <w:t xml:space="preserve">MOF issued </w:t>
            </w:r>
            <w:r w:rsidR="00503BDF" w:rsidRPr="00C4304F">
              <w:rPr>
                <w:rFonts w:eastAsiaTheme="minorEastAsia" w:cs="Arial"/>
                <w:color w:val="000000" w:themeColor="text1"/>
                <w:sz w:val="18"/>
                <w:szCs w:val="18"/>
              </w:rPr>
              <w:t>benchmark bonds with cumulative nominal value of GEL855 million</w:t>
            </w:r>
            <w:r w:rsidR="00066DF0" w:rsidRPr="00C4304F">
              <w:rPr>
                <w:rFonts w:eastAsiaTheme="minorEastAsia" w:cs="Arial"/>
                <w:color w:val="000000" w:themeColor="text1"/>
                <w:sz w:val="18"/>
                <w:szCs w:val="18"/>
              </w:rPr>
              <w:t>)</w:t>
            </w:r>
            <w:r w:rsidR="00BA2D5D" w:rsidRPr="00C4304F">
              <w:rPr>
                <w:rFonts w:eastAsiaTheme="minorEastAsia" w:cs="Arial"/>
                <w:color w:val="000000" w:themeColor="text1"/>
                <w:sz w:val="18"/>
                <w:szCs w:val="18"/>
              </w:rPr>
              <w:t xml:space="preserve"> </w:t>
            </w:r>
          </w:p>
          <w:p w14:paraId="7E59F4B7" w14:textId="77777777" w:rsidR="008D3A98" w:rsidRPr="00C4304F" w:rsidRDefault="008D3A98" w:rsidP="00C4304F">
            <w:pPr>
              <w:autoSpaceDE w:val="0"/>
              <w:autoSpaceDN w:val="0"/>
              <w:adjustRightInd w:val="0"/>
              <w:jc w:val="left"/>
              <w:rPr>
                <w:rFonts w:eastAsiaTheme="minorEastAsia" w:cs="Arial"/>
                <w:color w:val="000000" w:themeColor="text1"/>
                <w:sz w:val="18"/>
                <w:szCs w:val="18"/>
              </w:rPr>
            </w:pPr>
          </w:p>
          <w:p w14:paraId="28E8D924" w14:textId="45B4DAF9" w:rsidR="00915D82" w:rsidRPr="00C4304F" w:rsidRDefault="00ED070C" w:rsidP="00210D68">
            <w:pPr>
              <w:jc w:val="left"/>
              <w:rPr>
                <w:rFonts w:cs="Arial"/>
                <w:sz w:val="18"/>
                <w:szCs w:val="18"/>
              </w:rPr>
            </w:pPr>
            <w:r w:rsidRPr="00ED070C">
              <w:rPr>
                <w:rFonts w:cs="Arial"/>
                <w:sz w:val="18"/>
                <w:szCs w:val="18"/>
              </w:rPr>
              <w:t>Parliament approved new Investment Funds Law needed to develop investment fund legal, regulatory and tax framework and creating an enabling environment for the development of capital markets in Georgia</w:t>
            </w:r>
            <w:r w:rsidR="00733E61" w:rsidRPr="00C4304F">
              <w:rPr>
                <w:rFonts w:cs="Arial"/>
                <w:sz w:val="18"/>
                <w:szCs w:val="18"/>
              </w:rPr>
              <w:t>.</w:t>
            </w:r>
            <w:r w:rsidR="00DA3C25" w:rsidRPr="00C4304F">
              <w:rPr>
                <w:rFonts w:cs="Arial"/>
                <w:sz w:val="18"/>
                <w:szCs w:val="18"/>
              </w:rPr>
              <w:t xml:space="preserve"> </w:t>
            </w:r>
            <w:r w:rsidR="008926BD" w:rsidRPr="00C4304F">
              <w:rPr>
                <w:rFonts w:cs="Arial"/>
                <w:sz w:val="18"/>
                <w:szCs w:val="18"/>
              </w:rPr>
              <w:t>(June 2020 baseline: No Investment Fund Law)</w:t>
            </w:r>
          </w:p>
          <w:p w14:paraId="4E38853E" w14:textId="77777777" w:rsidR="008D74A7" w:rsidRPr="00C4304F" w:rsidRDefault="008D74A7" w:rsidP="00C4304F">
            <w:pPr>
              <w:autoSpaceDE w:val="0"/>
              <w:autoSpaceDN w:val="0"/>
              <w:adjustRightInd w:val="0"/>
              <w:jc w:val="left"/>
              <w:rPr>
                <w:rFonts w:eastAsiaTheme="minorEastAsia" w:cs="Arial"/>
                <w:color w:val="000000" w:themeColor="text1"/>
                <w:sz w:val="18"/>
                <w:szCs w:val="18"/>
              </w:rPr>
            </w:pPr>
          </w:p>
          <w:p w14:paraId="59B21C83" w14:textId="25466F5B" w:rsidR="00126F89" w:rsidRPr="00C4304F" w:rsidRDefault="00867995" w:rsidP="00C4304F">
            <w:pPr>
              <w:autoSpaceDE w:val="0"/>
              <w:autoSpaceDN w:val="0"/>
              <w:adjustRightInd w:val="0"/>
              <w:jc w:val="left"/>
              <w:rPr>
                <w:rFonts w:cs="Arial"/>
                <w:sz w:val="18"/>
                <w:szCs w:val="18"/>
              </w:rPr>
            </w:pPr>
            <w:r w:rsidRPr="00867995">
              <w:rPr>
                <w:rFonts w:cs="Arial"/>
                <w:sz w:val="18"/>
                <w:szCs w:val="18"/>
              </w:rPr>
              <w:t>Parliament approved revised budget in 2020 which includes an increase of at least GEL 30 in universal pension payout for pensioners aged 70 and above, 65% of whom are women, to mitigate the adverse impact of the COVID-19 crisis on old-age poverty</w:t>
            </w:r>
            <w:r w:rsidR="007F1745" w:rsidRPr="00C4304F">
              <w:rPr>
                <w:rFonts w:cs="Arial"/>
                <w:sz w:val="18"/>
                <w:szCs w:val="18"/>
              </w:rPr>
              <w:t>.</w:t>
            </w:r>
            <w:r w:rsidR="00F339FD" w:rsidRPr="00C4304F">
              <w:rPr>
                <w:rFonts w:cs="Arial"/>
                <w:sz w:val="18"/>
                <w:szCs w:val="18"/>
              </w:rPr>
              <w:t xml:space="preserve"> (</w:t>
            </w:r>
            <w:r w:rsidR="00575280">
              <w:rPr>
                <w:rFonts w:cs="Arial"/>
                <w:sz w:val="18"/>
                <w:szCs w:val="18"/>
              </w:rPr>
              <w:t>June</w:t>
            </w:r>
            <w:r w:rsidR="00F339FD" w:rsidRPr="00C4304F">
              <w:rPr>
                <w:rFonts w:cs="Arial"/>
                <w:sz w:val="18"/>
                <w:szCs w:val="18"/>
              </w:rPr>
              <w:t xml:space="preserve"> 20</w:t>
            </w:r>
            <w:r w:rsidR="00575280">
              <w:rPr>
                <w:rFonts w:cs="Arial"/>
                <w:sz w:val="18"/>
                <w:szCs w:val="18"/>
              </w:rPr>
              <w:t>20</w:t>
            </w:r>
            <w:r w:rsidR="00F339FD" w:rsidRPr="00C4304F">
              <w:rPr>
                <w:rFonts w:cs="Arial"/>
                <w:sz w:val="18"/>
                <w:szCs w:val="18"/>
              </w:rPr>
              <w:t xml:space="preserve"> Baseline: </w:t>
            </w:r>
            <w:r w:rsidR="00BE55C4" w:rsidRPr="00C4304F">
              <w:rPr>
                <w:rFonts w:cs="Arial"/>
                <w:sz w:val="18"/>
                <w:szCs w:val="18"/>
              </w:rPr>
              <w:t xml:space="preserve">monthly payout to pensioners aged 70 and above </w:t>
            </w:r>
            <w:r w:rsidR="00CD4C1E" w:rsidRPr="00C4304F">
              <w:rPr>
                <w:rFonts w:cs="Arial"/>
                <w:sz w:val="18"/>
                <w:szCs w:val="18"/>
              </w:rPr>
              <w:t>is GEL220)</w:t>
            </w:r>
          </w:p>
          <w:p w14:paraId="25912934" w14:textId="4CE678DF" w:rsidR="00694040" w:rsidRPr="00C4304F" w:rsidRDefault="00694040" w:rsidP="00C4304F">
            <w:pPr>
              <w:autoSpaceDE w:val="0"/>
              <w:autoSpaceDN w:val="0"/>
              <w:adjustRightInd w:val="0"/>
              <w:jc w:val="left"/>
              <w:rPr>
                <w:rFonts w:eastAsiaTheme="minorEastAsia" w:cs="Arial"/>
                <w:color w:val="000000" w:themeColor="text1"/>
                <w:sz w:val="18"/>
                <w:szCs w:val="18"/>
              </w:rPr>
            </w:pPr>
          </w:p>
          <w:p w14:paraId="31A8F618" w14:textId="636D5449" w:rsidR="005F6B07" w:rsidRDefault="000C15EA" w:rsidP="00C4304F">
            <w:pPr>
              <w:autoSpaceDE w:val="0"/>
              <w:autoSpaceDN w:val="0"/>
              <w:adjustRightInd w:val="0"/>
              <w:jc w:val="left"/>
              <w:rPr>
                <w:rFonts w:eastAsiaTheme="minorEastAsia" w:cs="Arial"/>
                <w:color w:val="000000" w:themeColor="text1"/>
                <w:sz w:val="18"/>
                <w:szCs w:val="18"/>
              </w:rPr>
            </w:pPr>
            <w:r w:rsidRPr="000C15EA">
              <w:rPr>
                <w:rFonts w:eastAsiaTheme="minorEastAsia" w:cs="Arial"/>
                <w:color w:val="000000" w:themeColor="text1"/>
                <w:sz w:val="18"/>
                <w:szCs w:val="18"/>
              </w:rPr>
              <w:t xml:space="preserve">Parliament approved amendment to the Law of Georgia on State Pensions which introduces a rules-based mechanism for increases in payouts for universal pension beneficiaries, 70% of whom are women. </w:t>
            </w:r>
            <w:r w:rsidR="00A92004" w:rsidRPr="00C4304F">
              <w:rPr>
                <w:rFonts w:cs="Arial"/>
                <w:sz w:val="18"/>
                <w:szCs w:val="18"/>
              </w:rPr>
              <w:t>(August 2020 baseline: no rules-based mechanism for indexation of pension payouts)</w:t>
            </w:r>
          </w:p>
          <w:p w14:paraId="05DC0DA4" w14:textId="77777777" w:rsidR="005F6B07" w:rsidRDefault="005F6B07" w:rsidP="00C4304F">
            <w:pPr>
              <w:autoSpaceDE w:val="0"/>
              <w:autoSpaceDN w:val="0"/>
              <w:adjustRightInd w:val="0"/>
              <w:jc w:val="left"/>
              <w:rPr>
                <w:rFonts w:eastAsiaTheme="minorEastAsia" w:cs="Arial"/>
                <w:color w:val="000000" w:themeColor="text1"/>
                <w:sz w:val="18"/>
                <w:szCs w:val="18"/>
              </w:rPr>
            </w:pPr>
          </w:p>
          <w:p w14:paraId="42FE8532" w14:textId="7EB2BE0B" w:rsidR="005F6B07" w:rsidRDefault="005F6B07" w:rsidP="00C4304F">
            <w:pPr>
              <w:autoSpaceDE w:val="0"/>
              <w:autoSpaceDN w:val="0"/>
              <w:adjustRightInd w:val="0"/>
              <w:jc w:val="left"/>
              <w:rPr>
                <w:rFonts w:eastAsiaTheme="minorEastAsia" w:cs="Arial"/>
                <w:color w:val="000000" w:themeColor="text1"/>
                <w:sz w:val="18"/>
                <w:szCs w:val="18"/>
              </w:rPr>
            </w:pPr>
            <w:r w:rsidRPr="005F6B07">
              <w:rPr>
                <w:rFonts w:eastAsiaTheme="minorEastAsia" w:cs="Arial"/>
                <w:color w:val="000000" w:themeColor="text1"/>
                <w:sz w:val="18"/>
                <w:szCs w:val="18"/>
              </w:rPr>
              <w:t>Government of Georgia establishes and operationalizes an independent public Pension Agency for administration of the new supplementary contributory pension scheme (Pillar II pension scheme) where at least 50% of staff are women</w:t>
            </w:r>
          </w:p>
          <w:p w14:paraId="38C00C93" w14:textId="66040346" w:rsidR="00881E92" w:rsidRPr="00C4304F" w:rsidRDefault="00122D77" w:rsidP="00C4304F">
            <w:pPr>
              <w:autoSpaceDE w:val="0"/>
              <w:autoSpaceDN w:val="0"/>
              <w:adjustRightInd w:val="0"/>
              <w:jc w:val="left"/>
              <w:rPr>
                <w:rFonts w:eastAsiaTheme="minorEastAsia" w:cs="Arial"/>
                <w:color w:val="000000" w:themeColor="text1"/>
                <w:sz w:val="18"/>
                <w:szCs w:val="18"/>
              </w:rPr>
            </w:pPr>
            <w:r w:rsidRPr="00C4304F">
              <w:rPr>
                <w:rFonts w:eastAsiaTheme="minorEastAsia" w:cs="Arial"/>
                <w:color w:val="000000" w:themeColor="text1"/>
                <w:sz w:val="18"/>
                <w:szCs w:val="18"/>
              </w:rPr>
              <w:t>(</w:t>
            </w:r>
            <w:r w:rsidR="003961B0" w:rsidRPr="00C4304F">
              <w:rPr>
                <w:rFonts w:eastAsiaTheme="minorEastAsia" w:cs="Arial"/>
                <w:color w:val="000000" w:themeColor="text1"/>
                <w:sz w:val="18"/>
                <w:szCs w:val="18"/>
              </w:rPr>
              <w:t>June 201</w:t>
            </w:r>
            <w:r w:rsidR="00153407" w:rsidRPr="00C4304F">
              <w:rPr>
                <w:rFonts w:eastAsiaTheme="minorEastAsia" w:cs="Arial"/>
                <w:color w:val="000000" w:themeColor="text1"/>
                <w:sz w:val="18"/>
                <w:szCs w:val="18"/>
              </w:rPr>
              <w:t>8</w:t>
            </w:r>
            <w:r w:rsidR="003961B0" w:rsidRPr="00C4304F">
              <w:rPr>
                <w:rFonts w:eastAsiaTheme="minorEastAsia" w:cs="Arial"/>
                <w:color w:val="000000" w:themeColor="text1"/>
                <w:sz w:val="18"/>
                <w:szCs w:val="18"/>
              </w:rPr>
              <w:t xml:space="preserve"> baseline: No contributory pension scheme of Pension Agency established)</w:t>
            </w:r>
          </w:p>
          <w:p w14:paraId="6C38523F" w14:textId="77777777" w:rsidR="00F91436" w:rsidRPr="00C4304F" w:rsidRDefault="00F91436" w:rsidP="00C4304F">
            <w:pPr>
              <w:autoSpaceDE w:val="0"/>
              <w:autoSpaceDN w:val="0"/>
              <w:adjustRightInd w:val="0"/>
              <w:jc w:val="left"/>
              <w:rPr>
                <w:rFonts w:eastAsiaTheme="minorEastAsia" w:cs="Arial"/>
                <w:color w:val="000000" w:themeColor="text1"/>
                <w:sz w:val="18"/>
                <w:szCs w:val="18"/>
              </w:rPr>
            </w:pPr>
          </w:p>
          <w:p w14:paraId="023E2D6A" w14:textId="253A591C" w:rsidR="00F91436" w:rsidRPr="00C4304F" w:rsidRDefault="00702F4E" w:rsidP="00C4304F">
            <w:pPr>
              <w:autoSpaceDE w:val="0"/>
              <w:autoSpaceDN w:val="0"/>
              <w:adjustRightInd w:val="0"/>
              <w:jc w:val="left"/>
              <w:rPr>
                <w:rFonts w:cs="Arial"/>
                <w:sz w:val="18"/>
                <w:szCs w:val="18"/>
              </w:rPr>
            </w:pPr>
            <w:r w:rsidRPr="00702F4E">
              <w:rPr>
                <w:rFonts w:cs="Arial"/>
                <w:sz w:val="18"/>
                <w:szCs w:val="18"/>
              </w:rPr>
              <w:t>Pension Agency ensured registration of 100% of formal employees and collected contributions from at least 80% of registered employers, as well as and associated contributions from Government and employees.</w:t>
            </w:r>
            <w:r w:rsidR="004B5F66" w:rsidRPr="00C4304F">
              <w:rPr>
                <w:rFonts w:cs="Arial"/>
                <w:sz w:val="18"/>
                <w:szCs w:val="18"/>
              </w:rPr>
              <w:t xml:space="preserve"> (January 2019 baseline: </w:t>
            </w:r>
            <w:r w:rsidR="004C3BC2" w:rsidRPr="00C4304F">
              <w:rPr>
                <w:rFonts w:cs="Arial"/>
                <w:sz w:val="18"/>
                <w:szCs w:val="18"/>
              </w:rPr>
              <w:t xml:space="preserve">Pension Agency did not </w:t>
            </w:r>
            <w:r w:rsidR="001528B2">
              <w:rPr>
                <w:rFonts w:cs="Arial"/>
                <w:sz w:val="18"/>
                <w:szCs w:val="18"/>
              </w:rPr>
              <w:t xml:space="preserve">have any registered employers and did not </w:t>
            </w:r>
            <w:r w:rsidR="004C3BC2" w:rsidRPr="00C4304F">
              <w:rPr>
                <w:rFonts w:cs="Arial"/>
                <w:sz w:val="18"/>
                <w:szCs w:val="18"/>
              </w:rPr>
              <w:t>collect contributions)</w:t>
            </w:r>
          </w:p>
          <w:p w14:paraId="745A42DE" w14:textId="4E9143FA" w:rsidR="00DC6C15" w:rsidRPr="00C4304F" w:rsidRDefault="00DC6C15" w:rsidP="00C4304F">
            <w:pPr>
              <w:autoSpaceDE w:val="0"/>
              <w:autoSpaceDN w:val="0"/>
              <w:adjustRightInd w:val="0"/>
              <w:jc w:val="left"/>
              <w:rPr>
                <w:rFonts w:eastAsiaTheme="minorEastAsia" w:cs="Arial"/>
                <w:color w:val="000000" w:themeColor="text1"/>
                <w:sz w:val="18"/>
                <w:szCs w:val="18"/>
              </w:rPr>
            </w:pPr>
          </w:p>
          <w:p w14:paraId="152A7D41" w14:textId="42075409" w:rsidR="00DC6C15" w:rsidRPr="00C4304F" w:rsidRDefault="00B8665E" w:rsidP="00C4304F">
            <w:pPr>
              <w:autoSpaceDE w:val="0"/>
              <w:autoSpaceDN w:val="0"/>
              <w:adjustRightInd w:val="0"/>
              <w:jc w:val="left"/>
              <w:rPr>
                <w:rFonts w:eastAsiaTheme="minorEastAsia" w:cs="Arial"/>
                <w:color w:val="000000" w:themeColor="text1"/>
                <w:sz w:val="18"/>
                <w:szCs w:val="18"/>
              </w:rPr>
            </w:pPr>
            <w:r w:rsidRPr="00B8665E">
              <w:rPr>
                <w:rFonts w:eastAsiaTheme="minorEastAsia" w:cs="Arial"/>
                <w:color w:val="000000" w:themeColor="text1"/>
                <w:sz w:val="18"/>
                <w:szCs w:val="18"/>
              </w:rPr>
              <w:t>Pension Agency adopted an interim Cash and Cash Equivalent Investment Policy allowing investments to be managed without any undue risk and ensuring transfer of all contribution payments into individual interest-bearing accounts</w:t>
            </w:r>
            <w:r>
              <w:rPr>
                <w:rFonts w:eastAsiaTheme="minorEastAsia" w:cs="Arial"/>
                <w:color w:val="000000" w:themeColor="text1"/>
                <w:sz w:val="18"/>
                <w:szCs w:val="18"/>
              </w:rPr>
              <w:t>.</w:t>
            </w:r>
            <w:r w:rsidRPr="00B8665E">
              <w:rPr>
                <w:rFonts w:eastAsiaTheme="minorEastAsia" w:cs="Arial"/>
                <w:color w:val="000000" w:themeColor="text1"/>
                <w:sz w:val="18"/>
                <w:szCs w:val="18"/>
              </w:rPr>
              <w:t xml:space="preserve"> </w:t>
            </w:r>
            <w:r w:rsidR="00DC6C15" w:rsidRPr="00C4304F">
              <w:rPr>
                <w:rFonts w:eastAsiaTheme="minorEastAsia" w:cs="Arial"/>
                <w:color w:val="000000" w:themeColor="text1"/>
                <w:sz w:val="18"/>
                <w:szCs w:val="18"/>
              </w:rPr>
              <w:t xml:space="preserve">(January 2020 baseline: </w:t>
            </w:r>
            <w:r w:rsidR="001C5F24" w:rsidRPr="00C4304F">
              <w:rPr>
                <w:rFonts w:eastAsiaTheme="minorEastAsia" w:cs="Arial"/>
                <w:color w:val="000000" w:themeColor="text1"/>
                <w:sz w:val="18"/>
                <w:szCs w:val="18"/>
              </w:rPr>
              <w:t>Contributions not transferred into individual interest-bearing accounts)</w:t>
            </w:r>
          </w:p>
          <w:p w14:paraId="34DE3F0D" w14:textId="014E37CD" w:rsidR="00694040" w:rsidRPr="00C4304F" w:rsidRDefault="00694040" w:rsidP="00C4304F">
            <w:pPr>
              <w:autoSpaceDE w:val="0"/>
              <w:autoSpaceDN w:val="0"/>
              <w:adjustRightInd w:val="0"/>
              <w:jc w:val="left"/>
              <w:rPr>
                <w:rFonts w:eastAsiaTheme="minorEastAsia" w:cs="Arial"/>
                <w:b/>
                <w:color w:val="000000" w:themeColor="text1"/>
                <w:sz w:val="18"/>
                <w:szCs w:val="18"/>
              </w:rPr>
            </w:pPr>
          </w:p>
        </w:tc>
        <w:tc>
          <w:tcPr>
            <w:tcW w:w="0" w:type="auto"/>
          </w:tcPr>
          <w:p w14:paraId="7801053B" w14:textId="77777777" w:rsidR="00694040" w:rsidRPr="00C4304F" w:rsidRDefault="00694040" w:rsidP="00C4304F">
            <w:pPr>
              <w:jc w:val="left"/>
              <w:rPr>
                <w:rFonts w:eastAsiaTheme="minorEastAsia" w:cs="Arial"/>
                <w:b/>
                <w:color w:val="000000" w:themeColor="text1"/>
                <w:sz w:val="18"/>
                <w:szCs w:val="18"/>
              </w:rPr>
            </w:pPr>
          </w:p>
          <w:p w14:paraId="468B9B0F" w14:textId="77777777" w:rsidR="001B7484" w:rsidRPr="00C4304F" w:rsidRDefault="001B7484" w:rsidP="00C4304F">
            <w:pPr>
              <w:jc w:val="left"/>
              <w:rPr>
                <w:rFonts w:eastAsiaTheme="minorEastAsia" w:cs="Arial"/>
                <w:b/>
                <w:color w:val="000000" w:themeColor="text1"/>
                <w:sz w:val="18"/>
                <w:szCs w:val="18"/>
              </w:rPr>
            </w:pPr>
          </w:p>
          <w:p w14:paraId="1FDA6FDC" w14:textId="77777777" w:rsidR="00DD5C52" w:rsidRPr="00C4304F" w:rsidRDefault="00DD5C52" w:rsidP="00C4304F">
            <w:pPr>
              <w:jc w:val="left"/>
              <w:rPr>
                <w:rFonts w:eastAsiaTheme="minorEastAsia" w:cs="Arial"/>
                <w:b/>
                <w:color w:val="000000" w:themeColor="text1"/>
                <w:sz w:val="18"/>
                <w:szCs w:val="18"/>
              </w:rPr>
            </w:pPr>
          </w:p>
          <w:p w14:paraId="51B44244" w14:textId="343876C9" w:rsidR="00DD5C52" w:rsidRPr="00C4304F" w:rsidRDefault="00DD5C52" w:rsidP="00C4304F">
            <w:pPr>
              <w:jc w:val="left"/>
              <w:rPr>
                <w:rFonts w:eastAsiaTheme="minorEastAsia" w:cs="Arial"/>
                <w:color w:val="000000" w:themeColor="text1"/>
                <w:sz w:val="18"/>
                <w:szCs w:val="18"/>
              </w:rPr>
            </w:pPr>
            <w:r w:rsidRPr="00C4304F">
              <w:rPr>
                <w:rFonts w:eastAsiaTheme="minorEastAsia" w:cs="Arial"/>
                <w:color w:val="000000" w:themeColor="text1"/>
                <w:sz w:val="18"/>
                <w:szCs w:val="18"/>
              </w:rPr>
              <w:t xml:space="preserve">MOF </w:t>
            </w:r>
            <w:r w:rsidR="00A92004">
              <w:rPr>
                <w:rFonts w:eastAsiaTheme="minorEastAsia" w:cs="Arial"/>
                <w:color w:val="000000" w:themeColor="text1"/>
                <w:sz w:val="18"/>
                <w:szCs w:val="18"/>
              </w:rPr>
              <w:t>Fiscal Risk Management Division sex-disaggregated staff list.</w:t>
            </w:r>
          </w:p>
          <w:p w14:paraId="0B5F1C73" w14:textId="77777777" w:rsidR="00DD5C52" w:rsidRPr="00C4304F" w:rsidRDefault="00DD5C52" w:rsidP="00C4304F">
            <w:pPr>
              <w:jc w:val="left"/>
              <w:rPr>
                <w:rFonts w:eastAsiaTheme="minorEastAsia" w:cs="Arial"/>
                <w:color w:val="000000" w:themeColor="text1"/>
                <w:sz w:val="18"/>
                <w:szCs w:val="18"/>
              </w:rPr>
            </w:pPr>
          </w:p>
          <w:p w14:paraId="43900F46" w14:textId="0B5CDE7A" w:rsidR="001F15ED" w:rsidRDefault="001F15ED" w:rsidP="00C4304F">
            <w:pPr>
              <w:jc w:val="left"/>
              <w:rPr>
                <w:rFonts w:eastAsiaTheme="minorEastAsia" w:cs="Arial"/>
                <w:color w:val="000000" w:themeColor="text1"/>
                <w:sz w:val="18"/>
                <w:szCs w:val="18"/>
              </w:rPr>
            </w:pPr>
          </w:p>
          <w:p w14:paraId="04CFA04D" w14:textId="77777777" w:rsidR="00A92004" w:rsidRDefault="00A92004" w:rsidP="00C4304F">
            <w:pPr>
              <w:jc w:val="left"/>
              <w:rPr>
                <w:rFonts w:eastAsiaTheme="minorEastAsia" w:cs="Arial"/>
                <w:color w:val="000000" w:themeColor="text1"/>
                <w:sz w:val="18"/>
                <w:szCs w:val="18"/>
              </w:rPr>
            </w:pPr>
          </w:p>
          <w:p w14:paraId="03B2D356" w14:textId="77777777" w:rsidR="001F15ED" w:rsidRPr="00C4304F" w:rsidRDefault="001F15ED" w:rsidP="00C4304F">
            <w:pPr>
              <w:jc w:val="left"/>
              <w:rPr>
                <w:rFonts w:eastAsiaTheme="minorEastAsia" w:cs="Arial"/>
                <w:color w:val="000000" w:themeColor="text1"/>
                <w:sz w:val="18"/>
                <w:szCs w:val="18"/>
              </w:rPr>
            </w:pPr>
          </w:p>
          <w:p w14:paraId="0C5818B9" w14:textId="77777777" w:rsidR="00DD5C52" w:rsidRPr="00C4304F" w:rsidRDefault="00DD5C52" w:rsidP="00C4304F">
            <w:pPr>
              <w:jc w:val="left"/>
              <w:rPr>
                <w:rFonts w:eastAsiaTheme="minorEastAsia" w:cs="Arial"/>
                <w:color w:val="000000" w:themeColor="text1"/>
                <w:sz w:val="18"/>
                <w:szCs w:val="18"/>
              </w:rPr>
            </w:pPr>
          </w:p>
          <w:p w14:paraId="2AB9231C" w14:textId="351B0B58" w:rsidR="00DD5C52" w:rsidRPr="00C4304F" w:rsidRDefault="001F15ED" w:rsidP="00C4304F">
            <w:pPr>
              <w:jc w:val="left"/>
              <w:rPr>
                <w:rFonts w:eastAsiaTheme="minorEastAsia" w:cs="Arial"/>
                <w:color w:val="000000" w:themeColor="text1"/>
                <w:sz w:val="18"/>
                <w:szCs w:val="18"/>
              </w:rPr>
            </w:pPr>
            <w:r>
              <w:rPr>
                <w:rFonts w:eastAsiaTheme="minorEastAsia" w:cs="Arial"/>
                <w:color w:val="000000" w:themeColor="text1"/>
                <w:sz w:val="18"/>
                <w:szCs w:val="18"/>
              </w:rPr>
              <w:t>PPP guidelines</w:t>
            </w:r>
          </w:p>
          <w:p w14:paraId="1B84C1F7" w14:textId="77777777" w:rsidR="00DD5C52" w:rsidRPr="00C4304F" w:rsidRDefault="00DD5C52" w:rsidP="00C4304F">
            <w:pPr>
              <w:jc w:val="left"/>
              <w:rPr>
                <w:rFonts w:eastAsiaTheme="minorEastAsia" w:cs="Arial"/>
                <w:color w:val="000000" w:themeColor="text1"/>
                <w:sz w:val="18"/>
                <w:szCs w:val="18"/>
              </w:rPr>
            </w:pPr>
          </w:p>
          <w:p w14:paraId="4F11DD92" w14:textId="77777777" w:rsidR="00DD5C52" w:rsidRPr="00C4304F" w:rsidRDefault="00DD5C52" w:rsidP="00C4304F">
            <w:pPr>
              <w:jc w:val="left"/>
              <w:rPr>
                <w:rFonts w:eastAsiaTheme="minorEastAsia" w:cs="Arial"/>
                <w:color w:val="000000" w:themeColor="text1"/>
                <w:sz w:val="18"/>
                <w:szCs w:val="18"/>
              </w:rPr>
            </w:pPr>
          </w:p>
          <w:p w14:paraId="7B6E16C2" w14:textId="77777777" w:rsidR="00DD5C52" w:rsidRPr="00C4304F" w:rsidRDefault="00DD5C52" w:rsidP="00C4304F">
            <w:pPr>
              <w:jc w:val="left"/>
              <w:rPr>
                <w:rFonts w:eastAsiaTheme="minorEastAsia" w:cs="Arial"/>
                <w:color w:val="000000" w:themeColor="text1"/>
                <w:sz w:val="18"/>
                <w:szCs w:val="18"/>
              </w:rPr>
            </w:pPr>
          </w:p>
          <w:p w14:paraId="6DC9DBFA" w14:textId="77777777" w:rsidR="00242E72" w:rsidRPr="00C4304F" w:rsidRDefault="00242E72" w:rsidP="00C4304F">
            <w:pPr>
              <w:jc w:val="left"/>
              <w:rPr>
                <w:rFonts w:eastAsiaTheme="minorEastAsia" w:cs="Arial"/>
                <w:color w:val="000000" w:themeColor="text1"/>
                <w:sz w:val="18"/>
                <w:szCs w:val="18"/>
              </w:rPr>
            </w:pPr>
          </w:p>
          <w:p w14:paraId="1555422C" w14:textId="77777777" w:rsidR="00B11987" w:rsidRPr="00C4304F" w:rsidRDefault="00B11987" w:rsidP="00C4304F">
            <w:pPr>
              <w:jc w:val="left"/>
              <w:rPr>
                <w:rFonts w:eastAsiaTheme="minorEastAsia" w:cs="Arial"/>
                <w:color w:val="000000" w:themeColor="text1"/>
                <w:sz w:val="18"/>
                <w:szCs w:val="18"/>
              </w:rPr>
            </w:pPr>
          </w:p>
          <w:p w14:paraId="2ADBFE98" w14:textId="77777777" w:rsidR="00B11987" w:rsidRPr="00C4304F" w:rsidRDefault="00B11987" w:rsidP="00C4304F">
            <w:pPr>
              <w:jc w:val="left"/>
              <w:rPr>
                <w:rFonts w:eastAsiaTheme="minorEastAsia" w:cs="Arial"/>
                <w:color w:val="000000" w:themeColor="text1"/>
                <w:sz w:val="18"/>
                <w:szCs w:val="18"/>
              </w:rPr>
            </w:pPr>
          </w:p>
          <w:p w14:paraId="5E02BDD3" w14:textId="77777777" w:rsidR="0002293E" w:rsidRPr="00C4304F" w:rsidRDefault="0002293E" w:rsidP="00C4304F">
            <w:pPr>
              <w:jc w:val="left"/>
              <w:rPr>
                <w:rFonts w:eastAsiaTheme="minorEastAsia" w:cs="Arial"/>
                <w:color w:val="000000" w:themeColor="text1"/>
                <w:sz w:val="18"/>
                <w:szCs w:val="18"/>
              </w:rPr>
            </w:pPr>
          </w:p>
          <w:p w14:paraId="6FAC4F14" w14:textId="77777777" w:rsidR="0002293E" w:rsidRPr="00C4304F" w:rsidRDefault="0002293E" w:rsidP="00C4304F">
            <w:pPr>
              <w:jc w:val="left"/>
              <w:rPr>
                <w:rFonts w:eastAsiaTheme="minorEastAsia" w:cs="Arial"/>
                <w:color w:val="000000" w:themeColor="text1"/>
                <w:sz w:val="18"/>
                <w:szCs w:val="18"/>
              </w:rPr>
            </w:pPr>
          </w:p>
          <w:p w14:paraId="7F9B160F" w14:textId="77777777" w:rsidR="00C4304F" w:rsidRPr="00C4304F" w:rsidRDefault="00C4304F" w:rsidP="00C4304F">
            <w:pPr>
              <w:jc w:val="left"/>
              <w:rPr>
                <w:rFonts w:eastAsiaTheme="minorEastAsia" w:cs="Arial"/>
                <w:bCs/>
                <w:color w:val="000000" w:themeColor="text1"/>
                <w:sz w:val="18"/>
                <w:szCs w:val="18"/>
              </w:rPr>
            </w:pPr>
          </w:p>
          <w:p w14:paraId="21382774" w14:textId="5A9DDBC9" w:rsidR="0002293E" w:rsidRPr="00C4304F" w:rsidRDefault="0002293E" w:rsidP="00C4304F">
            <w:pPr>
              <w:jc w:val="left"/>
              <w:rPr>
                <w:rFonts w:eastAsiaTheme="minorEastAsia" w:cs="Arial"/>
                <w:color w:val="000000" w:themeColor="text1"/>
                <w:sz w:val="18"/>
                <w:szCs w:val="18"/>
              </w:rPr>
            </w:pPr>
            <w:r w:rsidRPr="00C4304F">
              <w:rPr>
                <w:rFonts w:eastAsiaTheme="minorEastAsia" w:cs="Arial"/>
                <w:color w:val="000000" w:themeColor="text1"/>
                <w:sz w:val="18"/>
                <w:szCs w:val="18"/>
              </w:rPr>
              <w:t xml:space="preserve">MOF </w:t>
            </w:r>
            <w:r w:rsidR="00A92004">
              <w:rPr>
                <w:rFonts w:eastAsiaTheme="minorEastAsia" w:cs="Arial"/>
                <w:color w:val="000000" w:themeColor="text1"/>
                <w:sz w:val="18"/>
                <w:szCs w:val="18"/>
              </w:rPr>
              <w:t>Fiscal Risk Statement</w:t>
            </w:r>
          </w:p>
          <w:p w14:paraId="0FD25669" w14:textId="77777777" w:rsidR="0002293E" w:rsidRPr="00C4304F" w:rsidRDefault="0002293E" w:rsidP="00C4304F">
            <w:pPr>
              <w:jc w:val="left"/>
              <w:rPr>
                <w:rFonts w:eastAsiaTheme="minorEastAsia" w:cs="Arial"/>
                <w:color w:val="000000" w:themeColor="text1"/>
                <w:sz w:val="18"/>
                <w:szCs w:val="18"/>
              </w:rPr>
            </w:pPr>
          </w:p>
          <w:p w14:paraId="26065769" w14:textId="77777777" w:rsidR="00242E72" w:rsidRPr="00C4304F" w:rsidRDefault="00242E72" w:rsidP="00C4304F">
            <w:pPr>
              <w:jc w:val="left"/>
              <w:rPr>
                <w:rFonts w:eastAsiaTheme="minorEastAsia" w:cs="Arial"/>
                <w:color w:val="000000" w:themeColor="text1"/>
                <w:sz w:val="18"/>
                <w:szCs w:val="18"/>
              </w:rPr>
            </w:pPr>
          </w:p>
          <w:p w14:paraId="10B1907D" w14:textId="77777777" w:rsidR="00242E72" w:rsidRPr="00C4304F" w:rsidRDefault="00242E72" w:rsidP="00C4304F">
            <w:pPr>
              <w:jc w:val="left"/>
              <w:rPr>
                <w:rFonts w:eastAsiaTheme="minorEastAsia" w:cs="Arial"/>
                <w:color w:val="000000" w:themeColor="text1"/>
                <w:sz w:val="18"/>
                <w:szCs w:val="18"/>
              </w:rPr>
            </w:pPr>
          </w:p>
          <w:p w14:paraId="43711316" w14:textId="77777777" w:rsidR="00242E72" w:rsidRPr="00C4304F" w:rsidRDefault="00242E72" w:rsidP="00C4304F">
            <w:pPr>
              <w:jc w:val="left"/>
              <w:rPr>
                <w:rFonts w:eastAsiaTheme="minorEastAsia" w:cs="Arial"/>
                <w:color w:val="000000" w:themeColor="text1"/>
                <w:sz w:val="18"/>
                <w:szCs w:val="18"/>
              </w:rPr>
            </w:pPr>
          </w:p>
          <w:p w14:paraId="6E493C3A" w14:textId="77777777" w:rsidR="00242E72" w:rsidRPr="00C4304F" w:rsidRDefault="00242E72" w:rsidP="00C4304F">
            <w:pPr>
              <w:jc w:val="left"/>
              <w:rPr>
                <w:rFonts w:eastAsiaTheme="minorEastAsia" w:cs="Arial"/>
                <w:color w:val="000000" w:themeColor="text1"/>
                <w:sz w:val="18"/>
                <w:szCs w:val="18"/>
              </w:rPr>
            </w:pPr>
          </w:p>
          <w:p w14:paraId="0FD82424" w14:textId="77777777" w:rsidR="00242E72" w:rsidRPr="00C4304F" w:rsidRDefault="00242E72" w:rsidP="00C4304F">
            <w:pPr>
              <w:jc w:val="left"/>
              <w:rPr>
                <w:rFonts w:eastAsiaTheme="minorEastAsia" w:cs="Arial"/>
                <w:color w:val="000000" w:themeColor="text1"/>
                <w:sz w:val="18"/>
                <w:szCs w:val="18"/>
              </w:rPr>
            </w:pPr>
          </w:p>
          <w:p w14:paraId="2A501400" w14:textId="77777777" w:rsidR="00F9004E" w:rsidRPr="00C4304F" w:rsidRDefault="00F9004E" w:rsidP="00C4304F">
            <w:pPr>
              <w:jc w:val="left"/>
              <w:rPr>
                <w:rFonts w:eastAsiaTheme="minorEastAsia" w:cs="Arial"/>
                <w:color w:val="000000" w:themeColor="text1"/>
                <w:sz w:val="18"/>
                <w:szCs w:val="18"/>
              </w:rPr>
            </w:pPr>
          </w:p>
          <w:p w14:paraId="7AD558E7" w14:textId="77777777" w:rsidR="0002293E" w:rsidRPr="00C4304F" w:rsidRDefault="0002293E" w:rsidP="00C4304F">
            <w:pPr>
              <w:jc w:val="left"/>
              <w:rPr>
                <w:rFonts w:eastAsiaTheme="minorEastAsia" w:cs="Arial"/>
                <w:color w:val="000000" w:themeColor="text1"/>
                <w:sz w:val="18"/>
                <w:szCs w:val="18"/>
              </w:rPr>
            </w:pPr>
          </w:p>
          <w:p w14:paraId="28C78F86" w14:textId="77777777" w:rsidR="0002293E" w:rsidRPr="00C4304F" w:rsidRDefault="0002293E" w:rsidP="00C4304F">
            <w:pPr>
              <w:jc w:val="left"/>
              <w:rPr>
                <w:rFonts w:eastAsiaTheme="minorEastAsia" w:cs="Arial"/>
                <w:color w:val="000000" w:themeColor="text1"/>
                <w:sz w:val="18"/>
                <w:szCs w:val="18"/>
              </w:rPr>
            </w:pPr>
          </w:p>
          <w:p w14:paraId="6223AEB4" w14:textId="77777777" w:rsidR="0002293E" w:rsidRPr="00C4304F" w:rsidRDefault="0002293E" w:rsidP="00C4304F">
            <w:pPr>
              <w:jc w:val="left"/>
              <w:rPr>
                <w:rFonts w:eastAsiaTheme="minorEastAsia" w:cs="Arial"/>
                <w:color w:val="000000" w:themeColor="text1"/>
                <w:sz w:val="18"/>
                <w:szCs w:val="18"/>
              </w:rPr>
            </w:pPr>
          </w:p>
          <w:p w14:paraId="1D669F6C" w14:textId="77777777" w:rsidR="0002293E" w:rsidRPr="00C4304F" w:rsidRDefault="0002293E" w:rsidP="00C4304F">
            <w:pPr>
              <w:jc w:val="left"/>
              <w:rPr>
                <w:rFonts w:eastAsiaTheme="minorEastAsia" w:cs="Arial"/>
                <w:color w:val="000000" w:themeColor="text1"/>
                <w:sz w:val="18"/>
                <w:szCs w:val="18"/>
              </w:rPr>
            </w:pPr>
          </w:p>
          <w:p w14:paraId="395B9AF4" w14:textId="77777777" w:rsidR="0002293E" w:rsidRPr="00C4304F" w:rsidRDefault="0002293E" w:rsidP="00C4304F">
            <w:pPr>
              <w:jc w:val="left"/>
              <w:rPr>
                <w:rFonts w:eastAsiaTheme="minorEastAsia" w:cs="Arial"/>
                <w:color w:val="000000" w:themeColor="text1"/>
                <w:sz w:val="18"/>
                <w:szCs w:val="18"/>
              </w:rPr>
            </w:pPr>
          </w:p>
          <w:p w14:paraId="5E842DD9" w14:textId="77777777" w:rsidR="0002293E" w:rsidRPr="00C4304F" w:rsidRDefault="0002293E" w:rsidP="00C4304F">
            <w:pPr>
              <w:jc w:val="left"/>
              <w:rPr>
                <w:rFonts w:eastAsiaTheme="minorEastAsia" w:cs="Arial"/>
                <w:color w:val="000000" w:themeColor="text1"/>
                <w:sz w:val="18"/>
                <w:szCs w:val="18"/>
              </w:rPr>
            </w:pPr>
          </w:p>
          <w:p w14:paraId="193EFD7D" w14:textId="77777777" w:rsidR="0002293E" w:rsidRPr="00C4304F" w:rsidRDefault="0002293E" w:rsidP="00C4304F">
            <w:pPr>
              <w:jc w:val="left"/>
              <w:rPr>
                <w:rFonts w:eastAsiaTheme="minorEastAsia" w:cs="Arial"/>
                <w:color w:val="000000" w:themeColor="text1"/>
                <w:sz w:val="18"/>
                <w:szCs w:val="18"/>
              </w:rPr>
            </w:pPr>
          </w:p>
          <w:p w14:paraId="3884361C" w14:textId="77777777" w:rsidR="0002293E" w:rsidRPr="00C4304F" w:rsidRDefault="0002293E" w:rsidP="00C4304F">
            <w:pPr>
              <w:jc w:val="left"/>
              <w:rPr>
                <w:rFonts w:eastAsiaTheme="minorEastAsia" w:cs="Arial"/>
                <w:color w:val="000000" w:themeColor="text1"/>
                <w:sz w:val="18"/>
                <w:szCs w:val="18"/>
              </w:rPr>
            </w:pPr>
          </w:p>
          <w:p w14:paraId="3B09C56A" w14:textId="77777777" w:rsidR="0002293E" w:rsidRPr="00C4304F" w:rsidRDefault="0002293E" w:rsidP="00C4304F">
            <w:pPr>
              <w:jc w:val="left"/>
              <w:rPr>
                <w:rFonts w:eastAsiaTheme="minorEastAsia" w:cs="Arial"/>
                <w:color w:val="000000" w:themeColor="text1"/>
                <w:sz w:val="18"/>
                <w:szCs w:val="18"/>
              </w:rPr>
            </w:pPr>
          </w:p>
          <w:p w14:paraId="4161A59A" w14:textId="77777777" w:rsidR="0002293E" w:rsidRPr="00C4304F" w:rsidRDefault="0002293E" w:rsidP="00C4304F">
            <w:pPr>
              <w:jc w:val="left"/>
              <w:rPr>
                <w:rFonts w:eastAsiaTheme="minorEastAsia" w:cs="Arial"/>
                <w:color w:val="000000" w:themeColor="text1"/>
                <w:sz w:val="18"/>
                <w:szCs w:val="18"/>
              </w:rPr>
            </w:pPr>
          </w:p>
          <w:p w14:paraId="561DA86B" w14:textId="77777777" w:rsidR="0002293E" w:rsidRPr="00C4304F" w:rsidRDefault="0002293E" w:rsidP="00C4304F">
            <w:pPr>
              <w:jc w:val="left"/>
              <w:rPr>
                <w:rFonts w:eastAsiaTheme="minorEastAsia" w:cs="Arial"/>
                <w:color w:val="000000" w:themeColor="text1"/>
                <w:sz w:val="18"/>
                <w:szCs w:val="18"/>
              </w:rPr>
            </w:pPr>
          </w:p>
          <w:p w14:paraId="1AD33F27" w14:textId="77777777" w:rsidR="0002293E" w:rsidRPr="00C4304F" w:rsidRDefault="0002293E" w:rsidP="00C4304F">
            <w:pPr>
              <w:jc w:val="left"/>
              <w:rPr>
                <w:rFonts w:eastAsiaTheme="minorEastAsia" w:cs="Arial"/>
                <w:color w:val="000000" w:themeColor="text1"/>
                <w:sz w:val="18"/>
                <w:szCs w:val="18"/>
              </w:rPr>
            </w:pPr>
          </w:p>
          <w:p w14:paraId="37148AED" w14:textId="77777777" w:rsidR="0002293E" w:rsidRPr="00C4304F" w:rsidRDefault="0002293E" w:rsidP="00C4304F">
            <w:pPr>
              <w:jc w:val="left"/>
              <w:rPr>
                <w:rFonts w:eastAsiaTheme="minorEastAsia" w:cs="Arial"/>
                <w:color w:val="000000" w:themeColor="text1"/>
                <w:sz w:val="18"/>
                <w:szCs w:val="18"/>
              </w:rPr>
            </w:pPr>
          </w:p>
          <w:p w14:paraId="06FABE3A" w14:textId="77777777" w:rsidR="0002293E" w:rsidRPr="00C4304F" w:rsidRDefault="0002293E" w:rsidP="00C4304F">
            <w:pPr>
              <w:jc w:val="left"/>
              <w:rPr>
                <w:rFonts w:eastAsiaTheme="minorEastAsia" w:cs="Arial"/>
                <w:color w:val="000000" w:themeColor="text1"/>
                <w:sz w:val="18"/>
                <w:szCs w:val="18"/>
              </w:rPr>
            </w:pPr>
          </w:p>
          <w:p w14:paraId="6BB40698" w14:textId="77777777" w:rsidR="0002293E" w:rsidRPr="00C4304F" w:rsidRDefault="0002293E" w:rsidP="00C4304F">
            <w:pPr>
              <w:jc w:val="left"/>
              <w:rPr>
                <w:rFonts w:eastAsiaTheme="minorEastAsia" w:cs="Arial"/>
                <w:color w:val="000000" w:themeColor="text1"/>
                <w:sz w:val="18"/>
                <w:szCs w:val="18"/>
              </w:rPr>
            </w:pPr>
          </w:p>
          <w:p w14:paraId="2C2886E1" w14:textId="6C7D5B4B" w:rsidR="00915D82" w:rsidRDefault="00915D82" w:rsidP="00C4304F">
            <w:pPr>
              <w:jc w:val="left"/>
              <w:rPr>
                <w:rFonts w:eastAsiaTheme="minorEastAsia" w:cs="Arial"/>
                <w:color w:val="000000" w:themeColor="text1"/>
                <w:sz w:val="18"/>
                <w:szCs w:val="18"/>
              </w:rPr>
            </w:pPr>
          </w:p>
          <w:p w14:paraId="20244B1A" w14:textId="77777777" w:rsidR="00376780" w:rsidRPr="00C4304F" w:rsidRDefault="00376780" w:rsidP="00C4304F">
            <w:pPr>
              <w:jc w:val="left"/>
              <w:rPr>
                <w:rFonts w:eastAsiaTheme="minorEastAsia" w:cs="Arial"/>
                <w:color w:val="000000" w:themeColor="text1"/>
                <w:sz w:val="18"/>
                <w:szCs w:val="18"/>
              </w:rPr>
            </w:pPr>
          </w:p>
          <w:p w14:paraId="46A3F913" w14:textId="479724CE" w:rsidR="008D6F20" w:rsidRPr="00C4304F" w:rsidRDefault="00376780" w:rsidP="00C4304F">
            <w:pPr>
              <w:jc w:val="left"/>
              <w:rPr>
                <w:rFonts w:eastAsiaTheme="minorEastAsia" w:cs="Arial"/>
                <w:color w:val="000000" w:themeColor="text1"/>
                <w:sz w:val="18"/>
                <w:szCs w:val="18"/>
              </w:rPr>
            </w:pPr>
            <w:r w:rsidRPr="00376780">
              <w:rPr>
                <w:rFonts w:eastAsiaTheme="minorEastAsia" w:cs="Arial"/>
                <w:color w:val="000000" w:themeColor="text1"/>
                <w:sz w:val="18"/>
                <w:szCs w:val="18"/>
              </w:rPr>
              <w:t>Memorandum of Understanding between MOF, NBG and commercial banks</w:t>
            </w:r>
            <w:r>
              <w:rPr>
                <w:rFonts w:eastAsiaTheme="minorEastAsia" w:cs="Arial"/>
                <w:color w:val="000000" w:themeColor="text1"/>
                <w:sz w:val="18"/>
                <w:szCs w:val="18"/>
              </w:rPr>
              <w:t>,</w:t>
            </w:r>
          </w:p>
          <w:p w14:paraId="6E0E4F74" w14:textId="77777777" w:rsidR="008D6F20" w:rsidRPr="00C4304F" w:rsidRDefault="008D6F20" w:rsidP="00C4304F">
            <w:pPr>
              <w:jc w:val="left"/>
              <w:rPr>
                <w:rFonts w:eastAsiaTheme="minorEastAsia" w:cs="Arial"/>
                <w:color w:val="000000" w:themeColor="text1"/>
                <w:sz w:val="18"/>
                <w:szCs w:val="18"/>
              </w:rPr>
            </w:pPr>
          </w:p>
          <w:p w14:paraId="57DDA135" w14:textId="6C7E57AD" w:rsidR="009C0F2C" w:rsidRPr="00C4304F" w:rsidRDefault="009C0F2C" w:rsidP="00C4304F">
            <w:pPr>
              <w:jc w:val="left"/>
              <w:rPr>
                <w:rFonts w:eastAsiaTheme="minorEastAsia" w:cs="Arial"/>
                <w:color w:val="000000" w:themeColor="text1"/>
                <w:sz w:val="18"/>
                <w:szCs w:val="18"/>
              </w:rPr>
            </w:pPr>
          </w:p>
          <w:p w14:paraId="6EFE2D5F" w14:textId="77777777" w:rsidR="006D40F8" w:rsidRPr="00C4304F" w:rsidRDefault="006D40F8" w:rsidP="00C4304F">
            <w:pPr>
              <w:jc w:val="left"/>
              <w:rPr>
                <w:rFonts w:eastAsiaTheme="minorEastAsia" w:cs="Arial"/>
                <w:color w:val="000000" w:themeColor="text1"/>
                <w:sz w:val="18"/>
                <w:szCs w:val="18"/>
              </w:rPr>
            </w:pPr>
          </w:p>
          <w:p w14:paraId="31057D02" w14:textId="77777777" w:rsidR="00ED070C" w:rsidRDefault="00ED070C" w:rsidP="00C4304F">
            <w:pPr>
              <w:jc w:val="left"/>
              <w:rPr>
                <w:rFonts w:eastAsiaTheme="minorEastAsia" w:cs="Arial"/>
                <w:color w:val="000000" w:themeColor="text1"/>
                <w:sz w:val="18"/>
                <w:szCs w:val="18"/>
              </w:rPr>
            </w:pPr>
          </w:p>
          <w:p w14:paraId="2CC17D69" w14:textId="77777777" w:rsidR="00ED070C" w:rsidRDefault="00ED070C" w:rsidP="00C4304F">
            <w:pPr>
              <w:jc w:val="left"/>
              <w:rPr>
                <w:rFonts w:eastAsiaTheme="minorEastAsia" w:cs="Arial"/>
                <w:color w:val="000000" w:themeColor="text1"/>
                <w:sz w:val="18"/>
                <w:szCs w:val="18"/>
              </w:rPr>
            </w:pPr>
          </w:p>
          <w:p w14:paraId="6E43B0A1" w14:textId="77777777" w:rsidR="00ED070C" w:rsidRDefault="00ED070C" w:rsidP="00C4304F">
            <w:pPr>
              <w:jc w:val="left"/>
              <w:rPr>
                <w:rFonts w:eastAsiaTheme="minorEastAsia" w:cs="Arial"/>
                <w:color w:val="000000" w:themeColor="text1"/>
                <w:sz w:val="18"/>
                <w:szCs w:val="18"/>
              </w:rPr>
            </w:pPr>
          </w:p>
          <w:p w14:paraId="192D305F" w14:textId="15F4E00B" w:rsidR="008D3A98" w:rsidRDefault="008D3A98" w:rsidP="00C4304F">
            <w:pPr>
              <w:jc w:val="left"/>
              <w:rPr>
                <w:rFonts w:eastAsiaTheme="minorEastAsia" w:cs="Arial"/>
                <w:color w:val="000000" w:themeColor="text1"/>
                <w:sz w:val="18"/>
                <w:szCs w:val="18"/>
              </w:rPr>
            </w:pPr>
            <w:r w:rsidRPr="00C4304F">
              <w:rPr>
                <w:rFonts w:eastAsiaTheme="minorEastAsia" w:cs="Arial"/>
                <w:color w:val="000000" w:themeColor="text1"/>
                <w:sz w:val="18"/>
                <w:szCs w:val="18"/>
              </w:rPr>
              <w:t>MOF Minsiterial Decree</w:t>
            </w:r>
          </w:p>
          <w:p w14:paraId="7053D51F" w14:textId="5B23E964" w:rsidR="00ED070C" w:rsidRDefault="00ED070C" w:rsidP="00C4304F">
            <w:pPr>
              <w:jc w:val="left"/>
              <w:rPr>
                <w:rFonts w:eastAsiaTheme="minorEastAsia" w:cs="Arial"/>
                <w:color w:val="000000" w:themeColor="text1"/>
                <w:sz w:val="18"/>
                <w:szCs w:val="18"/>
              </w:rPr>
            </w:pPr>
          </w:p>
          <w:p w14:paraId="0BBD8729" w14:textId="00F6DD9B" w:rsidR="00ED070C" w:rsidRDefault="00ED070C" w:rsidP="00C4304F">
            <w:pPr>
              <w:jc w:val="left"/>
              <w:rPr>
                <w:rFonts w:eastAsiaTheme="minorEastAsia" w:cs="Arial"/>
                <w:color w:val="000000" w:themeColor="text1"/>
                <w:sz w:val="18"/>
                <w:szCs w:val="18"/>
              </w:rPr>
            </w:pPr>
          </w:p>
          <w:p w14:paraId="19A02F25" w14:textId="313D5BE3" w:rsidR="00ED070C" w:rsidRDefault="00ED070C" w:rsidP="00C4304F">
            <w:pPr>
              <w:jc w:val="left"/>
              <w:rPr>
                <w:rFonts w:eastAsiaTheme="minorEastAsia" w:cs="Arial"/>
                <w:color w:val="000000" w:themeColor="text1"/>
                <w:sz w:val="18"/>
                <w:szCs w:val="18"/>
              </w:rPr>
            </w:pPr>
          </w:p>
          <w:p w14:paraId="19FAD059" w14:textId="77777777" w:rsidR="00ED070C" w:rsidRPr="00C4304F" w:rsidRDefault="00ED070C" w:rsidP="00C4304F">
            <w:pPr>
              <w:jc w:val="left"/>
              <w:rPr>
                <w:rFonts w:eastAsiaTheme="minorEastAsia" w:cs="Arial"/>
                <w:color w:val="000000" w:themeColor="text1"/>
                <w:sz w:val="18"/>
                <w:szCs w:val="18"/>
              </w:rPr>
            </w:pPr>
          </w:p>
          <w:p w14:paraId="4E445A7F" w14:textId="42401455" w:rsidR="008D3A98" w:rsidRDefault="008D3A98" w:rsidP="00C4304F">
            <w:pPr>
              <w:jc w:val="left"/>
              <w:rPr>
                <w:rFonts w:eastAsiaTheme="minorEastAsia" w:cs="Arial"/>
                <w:color w:val="000000" w:themeColor="text1"/>
                <w:sz w:val="18"/>
                <w:szCs w:val="18"/>
              </w:rPr>
            </w:pPr>
          </w:p>
          <w:p w14:paraId="2F58E2F6" w14:textId="0007C84B" w:rsidR="00ED070C" w:rsidRDefault="00ED070C" w:rsidP="00C4304F">
            <w:pPr>
              <w:jc w:val="left"/>
              <w:rPr>
                <w:rFonts w:eastAsiaTheme="minorEastAsia" w:cs="Arial"/>
                <w:color w:val="000000" w:themeColor="text1"/>
                <w:sz w:val="18"/>
                <w:szCs w:val="18"/>
              </w:rPr>
            </w:pPr>
          </w:p>
          <w:p w14:paraId="459B9F51" w14:textId="77777777" w:rsidR="00ED070C" w:rsidRPr="00C4304F" w:rsidRDefault="00ED070C" w:rsidP="00C4304F">
            <w:pPr>
              <w:jc w:val="left"/>
              <w:rPr>
                <w:rFonts w:eastAsiaTheme="minorEastAsia" w:cs="Arial"/>
                <w:color w:val="000000" w:themeColor="text1"/>
                <w:sz w:val="18"/>
                <w:szCs w:val="18"/>
              </w:rPr>
            </w:pPr>
          </w:p>
          <w:p w14:paraId="251B74CC" w14:textId="77777777" w:rsidR="000A13EB" w:rsidRPr="00C4304F" w:rsidRDefault="000A13EB" w:rsidP="00C4304F">
            <w:pPr>
              <w:jc w:val="left"/>
              <w:rPr>
                <w:rFonts w:eastAsiaTheme="minorEastAsia" w:cs="Arial"/>
                <w:color w:val="000000" w:themeColor="text1"/>
                <w:sz w:val="18"/>
                <w:szCs w:val="18"/>
              </w:rPr>
            </w:pPr>
          </w:p>
          <w:p w14:paraId="289E5C38" w14:textId="3D8A5849" w:rsidR="007F64EA" w:rsidRPr="00C4304F" w:rsidRDefault="008D3A98" w:rsidP="00C4304F">
            <w:pPr>
              <w:jc w:val="left"/>
              <w:rPr>
                <w:rFonts w:eastAsiaTheme="minorEastAsia" w:cs="Arial"/>
                <w:color w:val="000000" w:themeColor="text1"/>
                <w:sz w:val="18"/>
                <w:szCs w:val="18"/>
              </w:rPr>
            </w:pPr>
            <w:r w:rsidRPr="00C4304F">
              <w:rPr>
                <w:rFonts w:eastAsiaTheme="minorEastAsia" w:cs="Arial"/>
                <w:color w:val="000000" w:themeColor="text1"/>
                <w:sz w:val="18"/>
                <w:szCs w:val="18"/>
              </w:rPr>
              <w:t>M</w:t>
            </w:r>
            <w:r w:rsidR="00C949FA" w:rsidRPr="00C4304F">
              <w:rPr>
                <w:rFonts w:eastAsiaTheme="minorEastAsia" w:cs="Arial"/>
                <w:color w:val="000000" w:themeColor="text1"/>
                <w:sz w:val="18"/>
                <w:szCs w:val="18"/>
              </w:rPr>
              <w:t xml:space="preserve">OF </w:t>
            </w:r>
            <w:r w:rsidR="00915D82" w:rsidRPr="00C4304F">
              <w:rPr>
                <w:rFonts w:eastAsiaTheme="minorEastAsia" w:cs="Arial"/>
                <w:color w:val="000000" w:themeColor="text1"/>
                <w:sz w:val="18"/>
                <w:szCs w:val="18"/>
              </w:rPr>
              <w:t xml:space="preserve">Benchmark Bond </w:t>
            </w:r>
            <w:r w:rsidR="00D136DD" w:rsidRPr="00C4304F">
              <w:rPr>
                <w:rFonts w:eastAsiaTheme="minorEastAsia" w:cs="Arial"/>
                <w:color w:val="000000" w:themeColor="text1"/>
                <w:sz w:val="18"/>
                <w:szCs w:val="18"/>
              </w:rPr>
              <w:t>Actual Emission Notice</w:t>
            </w:r>
            <w:r w:rsidR="00915D82" w:rsidRPr="00C4304F">
              <w:rPr>
                <w:rFonts w:eastAsiaTheme="minorEastAsia" w:cs="Arial"/>
                <w:color w:val="000000" w:themeColor="text1"/>
                <w:sz w:val="18"/>
                <w:szCs w:val="18"/>
              </w:rPr>
              <w:t xml:space="preserve"> </w:t>
            </w:r>
          </w:p>
          <w:p w14:paraId="7D216DEC" w14:textId="77777777" w:rsidR="00915D82" w:rsidRPr="00C4304F" w:rsidRDefault="00915D82" w:rsidP="00C4304F">
            <w:pPr>
              <w:jc w:val="left"/>
              <w:rPr>
                <w:rFonts w:eastAsiaTheme="minorEastAsia" w:cs="Arial"/>
                <w:color w:val="000000" w:themeColor="text1"/>
                <w:sz w:val="18"/>
                <w:szCs w:val="18"/>
              </w:rPr>
            </w:pPr>
          </w:p>
          <w:p w14:paraId="4AF42585" w14:textId="77777777" w:rsidR="008D3A98" w:rsidRDefault="008D3A98" w:rsidP="00C4304F">
            <w:pPr>
              <w:jc w:val="left"/>
              <w:rPr>
                <w:rFonts w:eastAsiaTheme="minorEastAsia" w:cs="Arial"/>
                <w:color w:val="000000" w:themeColor="text1"/>
                <w:sz w:val="18"/>
                <w:szCs w:val="18"/>
              </w:rPr>
            </w:pPr>
          </w:p>
          <w:p w14:paraId="4CC9CC89" w14:textId="77777777" w:rsidR="00C4304F" w:rsidRPr="00C4304F" w:rsidRDefault="00C4304F" w:rsidP="00C4304F">
            <w:pPr>
              <w:jc w:val="left"/>
              <w:rPr>
                <w:rFonts w:eastAsiaTheme="minorEastAsia" w:cs="Arial"/>
                <w:bCs/>
                <w:color w:val="000000" w:themeColor="text1"/>
                <w:sz w:val="18"/>
                <w:szCs w:val="18"/>
              </w:rPr>
            </w:pPr>
          </w:p>
          <w:p w14:paraId="5A525783" w14:textId="3D538798" w:rsidR="00D136DD" w:rsidRDefault="00D136DD" w:rsidP="00C4304F">
            <w:pPr>
              <w:jc w:val="left"/>
              <w:rPr>
                <w:rFonts w:eastAsiaTheme="minorEastAsia" w:cs="Arial"/>
                <w:color w:val="000000" w:themeColor="text1"/>
                <w:sz w:val="18"/>
                <w:szCs w:val="18"/>
              </w:rPr>
            </w:pPr>
          </w:p>
          <w:p w14:paraId="4885B8F2" w14:textId="794723FE" w:rsidR="00ED070C" w:rsidRDefault="00ED070C" w:rsidP="00C4304F">
            <w:pPr>
              <w:jc w:val="left"/>
              <w:rPr>
                <w:rFonts w:eastAsiaTheme="minorEastAsia" w:cs="Arial"/>
                <w:color w:val="000000" w:themeColor="text1"/>
                <w:sz w:val="18"/>
                <w:szCs w:val="18"/>
              </w:rPr>
            </w:pPr>
          </w:p>
          <w:p w14:paraId="393CB4BF" w14:textId="77777777" w:rsidR="00A92004" w:rsidRDefault="00A92004" w:rsidP="00C4304F">
            <w:pPr>
              <w:jc w:val="left"/>
              <w:rPr>
                <w:rFonts w:eastAsiaTheme="minorEastAsia" w:cs="Arial"/>
                <w:color w:val="000000" w:themeColor="text1"/>
                <w:sz w:val="18"/>
                <w:szCs w:val="18"/>
              </w:rPr>
            </w:pPr>
          </w:p>
          <w:p w14:paraId="384FDCD9" w14:textId="6AD832C4" w:rsidR="00ED070C" w:rsidRDefault="00ED070C" w:rsidP="00C4304F">
            <w:pPr>
              <w:jc w:val="left"/>
              <w:rPr>
                <w:rFonts w:eastAsiaTheme="minorEastAsia" w:cs="Arial"/>
                <w:color w:val="000000" w:themeColor="text1"/>
                <w:sz w:val="18"/>
                <w:szCs w:val="18"/>
              </w:rPr>
            </w:pPr>
          </w:p>
          <w:p w14:paraId="0320836A" w14:textId="1FD1672C" w:rsidR="00ED070C" w:rsidRPr="00C4304F" w:rsidRDefault="00ED070C" w:rsidP="00C4304F">
            <w:pPr>
              <w:jc w:val="left"/>
              <w:rPr>
                <w:rFonts w:eastAsiaTheme="minorEastAsia" w:cs="Arial"/>
                <w:color w:val="000000" w:themeColor="text1"/>
                <w:sz w:val="18"/>
                <w:szCs w:val="18"/>
              </w:rPr>
            </w:pPr>
            <w:r>
              <w:rPr>
                <w:rFonts w:eastAsiaTheme="minorEastAsia" w:cs="Arial"/>
                <w:color w:val="000000" w:themeColor="text1"/>
                <w:sz w:val="18"/>
                <w:szCs w:val="18"/>
              </w:rPr>
              <w:t>Investment Funds Law</w:t>
            </w:r>
          </w:p>
          <w:p w14:paraId="07AEE638" w14:textId="77777777" w:rsidR="00D136DD" w:rsidRPr="00C4304F" w:rsidRDefault="00D136DD" w:rsidP="00C4304F">
            <w:pPr>
              <w:jc w:val="left"/>
              <w:rPr>
                <w:rFonts w:eastAsiaTheme="minorEastAsia" w:cs="Arial"/>
                <w:color w:val="000000" w:themeColor="text1"/>
                <w:sz w:val="18"/>
                <w:szCs w:val="18"/>
              </w:rPr>
            </w:pPr>
          </w:p>
          <w:p w14:paraId="25F550E4" w14:textId="77777777" w:rsidR="00DD5C52" w:rsidRPr="00C4304F" w:rsidRDefault="00DD5C52" w:rsidP="00C4304F">
            <w:pPr>
              <w:jc w:val="left"/>
              <w:rPr>
                <w:rFonts w:eastAsiaTheme="minorEastAsia" w:cs="Arial"/>
                <w:b/>
                <w:color w:val="000000" w:themeColor="text1"/>
                <w:sz w:val="18"/>
                <w:szCs w:val="18"/>
              </w:rPr>
            </w:pPr>
          </w:p>
          <w:p w14:paraId="7B55FEE3" w14:textId="77777777" w:rsidR="008D6F20" w:rsidRPr="00C4304F" w:rsidRDefault="008D6F20" w:rsidP="00C4304F">
            <w:pPr>
              <w:jc w:val="left"/>
              <w:rPr>
                <w:rFonts w:eastAsiaTheme="minorEastAsia" w:cs="Arial"/>
                <w:b/>
                <w:color w:val="000000" w:themeColor="text1"/>
                <w:sz w:val="18"/>
                <w:szCs w:val="18"/>
              </w:rPr>
            </w:pPr>
          </w:p>
          <w:p w14:paraId="4B618DEB" w14:textId="4E0D1AE8" w:rsidR="008D6F20" w:rsidRPr="00C4304F" w:rsidRDefault="008D6F20" w:rsidP="00C4304F">
            <w:pPr>
              <w:jc w:val="left"/>
              <w:rPr>
                <w:rFonts w:eastAsiaTheme="minorEastAsia" w:cs="Arial"/>
                <w:b/>
                <w:color w:val="000000" w:themeColor="text1"/>
                <w:sz w:val="18"/>
                <w:szCs w:val="18"/>
              </w:rPr>
            </w:pPr>
          </w:p>
          <w:p w14:paraId="1B203658" w14:textId="77777777" w:rsidR="00C4304F" w:rsidRDefault="00C4304F" w:rsidP="00C4304F">
            <w:pPr>
              <w:jc w:val="left"/>
              <w:rPr>
                <w:rFonts w:eastAsiaTheme="minorEastAsia" w:cs="Arial"/>
                <w:b/>
                <w:color w:val="000000" w:themeColor="text1"/>
                <w:sz w:val="18"/>
                <w:szCs w:val="18"/>
              </w:rPr>
            </w:pPr>
          </w:p>
          <w:p w14:paraId="41A15CE4" w14:textId="77777777" w:rsidR="00FA384E" w:rsidRPr="00C4304F" w:rsidRDefault="00FA384E" w:rsidP="00C4304F">
            <w:pPr>
              <w:jc w:val="left"/>
              <w:rPr>
                <w:rFonts w:eastAsiaTheme="minorEastAsia" w:cs="Arial"/>
                <w:b/>
                <w:color w:val="000000" w:themeColor="text1"/>
                <w:sz w:val="18"/>
                <w:szCs w:val="18"/>
              </w:rPr>
            </w:pPr>
          </w:p>
          <w:p w14:paraId="39EC1BF5" w14:textId="12490F88" w:rsidR="001D6AE4" w:rsidRPr="00C4304F" w:rsidRDefault="00376780" w:rsidP="00C4304F">
            <w:pPr>
              <w:jc w:val="left"/>
              <w:rPr>
                <w:rFonts w:eastAsiaTheme="minorEastAsia" w:cs="Arial"/>
                <w:color w:val="000000" w:themeColor="text1"/>
                <w:sz w:val="18"/>
                <w:szCs w:val="18"/>
              </w:rPr>
            </w:pPr>
            <w:r>
              <w:rPr>
                <w:rFonts w:eastAsiaTheme="minorEastAsia" w:cs="Arial"/>
                <w:color w:val="000000" w:themeColor="text1"/>
                <w:sz w:val="18"/>
                <w:szCs w:val="18"/>
              </w:rPr>
              <w:t>Rectified Budget 2020</w:t>
            </w:r>
          </w:p>
          <w:p w14:paraId="2CFBD931" w14:textId="77777777" w:rsidR="00577EC1" w:rsidRPr="00C4304F" w:rsidRDefault="00577EC1" w:rsidP="00C4304F">
            <w:pPr>
              <w:jc w:val="left"/>
              <w:rPr>
                <w:rFonts w:eastAsiaTheme="minorEastAsia" w:cs="Arial"/>
                <w:color w:val="000000" w:themeColor="text1"/>
                <w:sz w:val="18"/>
                <w:szCs w:val="18"/>
              </w:rPr>
            </w:pPr>
          </w:p>
          <w:p w14:paraId="4C6CEB5B" w14:textId="4E0D1AE8" w:rsidR="00CC2BF5" w:rsidRPr="00C4304F" w:rsidRDefault="00CC2BF5" w:rsidP="00C4304F">
            <w:pPr>
              <w:jc w:val="left"/>
              <w:rPr>
                <w:rFonts w:eastAsiaTheme="minorEastAsia" w:cs="Arial"/>
                <w:b/>
                <w:color w:val="000000" w:themeColor="text1"/>
                <w:sz w:val="18"/>
                <w:szCs w:val="18"/>
              </w:rPr>
            </w:pPr>
          </w:p>
          <w:p w14:paraId="704018A7" w14:textId="77777777" w:rsidR="00944A72" w:rsidRDefault="00944A72" w:rsidP="00C4304F">
            <w:pPr>
              <w:jc w:val="left"/>
              <w:rPr>
                <w:rFonts w:eastAsiaTheme="minorEastAsia" w:cs="Arial"/>
                <w:b/>
                <w:color w:val="000000" w:themeColor="text1"/>
                <w:sz w:val="18"/>
                <w:szCs w:val="18"/>
              </w:rPr>
            </w:pPr>
          </w:p>
          <w:p w14:paraId="32E71BDB" w14:textId="3A5B06E9" w:rsidR="00EB67A0" w:rsidRDefault="00EB67A0" w:rsidP="00C4304F">
            <w:pPr>
              <w:jc w:val="left"/>
              <w:rPr>
                <w:rFonts w:eastAsiaTheme="minorEastAsia" w:cs="Arial"/>
                <w:b/>
                <w:color w:val="000000" w:themeColor="text1"/>
                <w:sz w:val="18"/>
                <w:szCs w:val="18"/>
              </w:rPr>
            </w:pPr>
          </w:p>
          <w:p w14:paraId="5124EB97" w14:textId="106EDC9F" w:rsidR="00B274FF" w:rsidRDefault="00B274FF" w:rsidP="00C4304F">
            <w:pPr>
              <w:jc w:val="left"/>
              <w:rPr>
                <w:rFonts w:eastAsiaTheme="minorEastAsia" w:cs="Arial"/>
                <w:b/>
                <w:color w:val="000000" w:themeColor="text1"/>
                <w:sz w:val="18"/>
                <w:szCs w:val="18"/>
              </w:rPr>
            </w:pPr>
          </w:p>
          <w:p w14:paraId="1518C473" w14:textId="77777777" w:rsidR="00D66076" w:rsidRPr="00C4304F" w:rsidRDefault="00D66076" w:rsidP="00C4304F">
            <w:pPr>
              <w:jc w:val="left"/>
              <w:rPr>
                <w:rFonts w:eastAsiaTheme="minorEastAsia" w:cs="Arial"/>
                <w:b/>
                <w:color w:val="000000" w:themeColor="text1"/>
                <w:sz w:val="18"/>
                <w:szCs w:val="18"/>
              </w:rPr>
            </w:pPr>
          </w:p>
          <w:p w14:paraId="0ADA6F0A" w14:textId="40AB7A24" w:rsidR="00D66076" w:rsidRPr="00C4304F" w:rsidRDefault="00D66076" w:rsidP="00C4304F">
            <w:pPr>
              <w:jc w:val="left"/>
              <w:rPr>
                <w:rFonts w:eastAsiaTheme="minorEastAsia" w:cs="Arial"/>
                <w:b/>
                <w:color w:val="000000" w:themeColor="text1"/>
                <w:sz w:val="18"/>
                <w:szCs w:val="18"/>
              </w:rPr>
            </w:pPr>
          </w:p>
          <w:p w14:paraId="0FE7FE13" w14:textId="77777777" w:rsidR="009C0F2C" w:rsidRPr="00C4304F" w:rsidRDefault="009C0F2C" w:rsidP="00C4304F">
            <w:pPr>
              <w:jc w:val="left"/>
              <w:rPr>
                <w:rFonts w:eastAsiaTheme="minorEastAsia" w:cs="Arial"/>
                <w:b/>
                <w:color w:val="000000" w:themeColor="text1"/>
                <w:sz w:val="18"/>
                <w:szCs w:val="18"/>
              </w:rPr>
            </w:pPr>
          </w:p>
          <w:p w14:paraId="261A2804" w14:textId="14BB0C24" w:rsidR="00D66076" w:rsidRPr="00197416" w:rsidRDefault="00197416" w:rsidP="00C4304F">
            <w:pPr>
              <w:jc w:val="left"/>
              <w:rPr>
                <w:rFonts w:eastAsiaTheme="minorEastAsia" w:cs="Arial"/>
                <w:bCs/>
                <w:color w:val="000000" w:themeColor="text1"/>
                <w:sz w:val="18"/>
                <w:szCs w:val="18"/>
              </w:rPr>
            </w:pPr>
            <w:r w:rsidRPr="00197416">
              <w:rPr>
                <w:rFonts w:eastAsiaTheme="minorEastAsia" w:cs="Arial"/>
                <w:bCs/>
                <w:color w:val="000000" w:themeColor="text1"/>
                <w:sz w:val="18"/>
                <w:szCs w:val="18"/>
              </w:rPr>
              <w:t>Law of Georgia on State Pension; Budget Documents</w:t>
            </w:r>
          </w:p>
          <w:p w14:paraId="1E6C0E9F" w14:textId="3A5C219C" w:rsidR="00C4304F" w:rsidRDefault="00C4304F" w:rsidP="00C4304F">
            <w:pPr>
              <w:jc w:val="left"/>
              <w:rPr>
                <w:rFonts w:eastAsiaTheme="minorEastAsia" w:cs="Arial"/>
                <w:b/>
                <w:color w:val="000000" w:themeColor="text1"/>
                <w:sz w:val="18"/>
                <w:szCs w:val="18"/>
              </w:rPr>
            </w:pPr>
          </w:p>
          <w:p w14:paraId="7B822094" w14:textId="4A28D5D6" w:rsidR="00A92004" w:rsidRDefault="00A92004" w:rsidP="00C4304F">
            <w:pPr>
              <w:jc w:val="left"/>
              <w:rPr>
                <w:rFonts w:eastAsiaTheme="minorEastAsia" w:cs="Arial"/>
                <w:b/>
                <w:color w:val="000000" w:themeColor="text1"/>
                <w:sz w:val="18"/>
                <w:szCs w:val="18"/>
              </w:rPr>
            </w:pPr>
          </w:p>
          <w:p w14:paraId="24E914A6" w14:textId="77777777" w:rsidR="00A92004" w:rsidRDefault="00A92004" w:rsidP="00C4304F">
            <w:pPr>
              <w:jc w:val="left"/>
              <w:rPr>
                <w:rFonts w:eastAsiaTheme="minorEastAsia" w:cs="Arial"/>
                <w:b/>
                <w:color w:val="000000" w:themeColor="text1"/>
                <w:sz w:val="18"/>
                <w:szCs w:val="18"/>
              </w:rPr>
            </w:pPr>
          </w:p>
          <w:p w14:paraId="2561F499" w14:textId="77777777" w:rsidR="00B8665E" w:rsidRPr="00C4304F" w:rsidRDefault="00B8665E" w:rsidP="00C4304F">
            <w:pPr>
              <w:jc w:val="left"/>
              <w:rPr>
                <w:rFonts w:eastAsiaTheme="minorEastAsia" w:cs="Arial"/>
                <w:b/>
                <w:color w:val="000000" w:themeColor="text1"/>
                <w:sz w:val="18"/>
                <w:szCs w:val="18"/>
              </w:rPr>
            </w:pPr>
          </w:p>
          <w:p w14:paraId="496B134B" w14:textId="39E2C30D" w:rsidR="00B8665E" w:rsidRDefault="00990A87" w:rsidP="00C4304F">
            <w:pPr>
              <w:jc w:val="left"/>
              <w:rPr>
                <w:rFonts w:eastAsiaTheme="minorEastAsia" w:cs="Arial"/>
                <w:color w:val="000000" w:themeColor="text1"/>
                <w:sz w:val="18"/>
                <w:szCs w:val="18"/>
              </w:rPr>
            </w:pPr>
            <w:r>
              <w:rPr>
                <w:rFonts w:eastAsiaTheme="minorEastAsia" w:cs="Arial"/>
                <w:color w:val="000000" w:themeColor="text1"/>
                <w:sz w:val="18"/>
                <w:szCs w:val="18"/>
              </w:rPr>
              <w:t xml:space="preserve">Law of Georgia on Pension Savings and sex-disaggregated </w:t>
            </w:r>
            <w:r w:rsidR="00CD6AE2">
              <w:rPr>
                <w:rFonts w:eastAsiaTheme="minorEastAsia" w:cs="Arial"/>
                <w:color w:val="000000" w:themeColor="text1"/>
                <w:sz w:val="18"/>
                <w:szCs w:val="18"/>
              </w:rPr>
              <w:t>staff list from the PA.</w:t>
            </w:r>
          </w:p>
          <w:p w14:paraId="4B6193FA" w14:textId="77777777" w:rsidR="00CD6AE2" w:rsidRPr="00CD6AE2" w:rsidRDefault="00CD6AE2" w:rsidP="00C4304F">
            <w:pPr>
              <w:jc w:val="left"/>
              <w:rPr>
                <w:rFonts w:eastAsiaTheme="minorEastAsia" w:cs="Arial"/>
                <w:color w:val="000000" w:themeColor="text1"/>
                <w:sz w:val="18"/>
                <w:szCs w:val="18"/>
              </w:rPr>
            </w:pPr>
          </w:p>
          <w:p w14:paraId="68991EAA" w14:textId="553A5E76" w:rsidR="00B8665E" w:rsidRDefault="00B8665E" w:rsidP="00C4304F">
            <w:pPr>
              <w:jc w:val="left"/>
              <w:rPr>
                <w:rFonts w:eastAsiaTheme="minorEastAsia" w:cs="Arial"/>
                <w:b/>
                <w:color w:val="000000" w:themeColor="text1"/>
                <w:sz w:val="18"/>
                <w:szCs w:val="18"/>
              </w:rPr>
            </w:pPr>
          </w:p>
          <w:p w14:paraId="3B46B4A0" w14:textId="77777777" w:rsidR="00B8665E" w:rsidRPr="00C4304F" w:rsidRDefault="00B8665E" w:rsidP="00C4304F">
            <w:pPr>
              <w:jc w:val="left"/>
              <w:rPr>
                <w:rFonts w:eastAsiaTheme="minorEastAsia" w:cs="Arial"/>
                <w:b/>
                <w:color w:val="000000" w:themeColor="text1"/>
                <w:sz w:val="18"/>
                <w:szCs w:val="18"/>
              </w:rPr>
            </w:pPr>
          </w:p>
          <w:p w14:paraId="7BEF18D5" w14:textId="77777777" w:rsidR="008D3A98" w:rsidRPr="00C4304F" w:rsidRDefault="008D3A98" w:rsidP="00C4304F">
            <w:pPr>
              <w:jc w:val="left"/>
              <w:rPr>
                <w:rFonts w:eastAsiaTheme="minorEastAsia" w:cs="Arial"/>
                <w:b/>
                <w:color w:val="000000" w:themeColor="text1"/>
                <w:sz w:val="18"/>
                <w:szCs w:val="18"/>
              </w:rPr>
            </w:pPr>
          </w:p>
          <w:p w14:paraId="79150759" w14:textId="77777777" w:rsidR="00D66076" w:rsidRDefault="00D66076" w:rsidP="00C4304F">
            <w:pPr>
              <w:jc w:val="left"/>
              <w:rPr>
                <w:rFonts w:eastAsiaTheme="minorEastAsia" w:cs="Arial"/>
                <w:color w:val="000000" w:themeColor="text1"/>
                <w:sz w:val="18"/>
                <w:szCs w:val="18"/>
              </w:rPr>
            </w:pPr>
            <w:r w:rsidRPr="00C4304F">
              <w:rPr>
                <w:rFonts w:eastAsiaTheme="minorEastAsia" w:cs="Arial"/>
                <w:color w:val="000000" w:themeColor="text1"/>
                <w:sz w:val="18"/>
                <w:szCs w:val="18"/>
              </w:rPr>
              <w:t>Pension Agency annual report</w:t>
            </w:r>
          </w:p>
          <w:p w14:paraId="2A1639B2" w14:textId="77777777" w:rsidR="00B8665E" w:rsidRDefault="00B8665E" w:rsidP="00C4304F">
            <w:pPr>
              <w:jc w:val="left"/>
              <w:rPr>
                <w:rFonts w:eastAsiaTheme="minorEastAsia" w:cs="Arial"/>
                <w:color w:val="000000" w:themeColor="text1"/>
                <w:sz w:val="18"/>
                <w:szCs w:val="18"/>
              </w:rPr>
            </w:pPr>
          </w:p>
          <w:p w14:paraId="4D63DE03" w14:textId="77777777" w:rsidR="00B8665E" w:rsidRDefault="00B8665E" w:rsidP="00C4304F">
            <w:pPr>
              <w:jc w:val="left"/>
              <w:rPr>
                <w:rFonts w:eastAsiaTheme="minorEastAsia" w:cs="Arial"/>
                <w:color w:val="000000" w:themeColor="text1"/>
                <w:sz w:val="18"/>
                <w:szCs w:val="18"/>
              </w:rPr>
            </w:pPr>
          </w:p>
          <w:p w14:paraId="0C201DA8" w14:textId="77777777" w:rsidR="00B8665E" w:rsidRDefault="00B8665E" w:rsidP="00C4304F">
            <w:pPr>
              <w:jc w:val="left"/>
              <w:rPr>
                <w:rFonts w:eastAsiaTheme="minorEastAsia" w:cs="Arial"/>
                <w:color w:val="000000" w:themeColor="text1"/>
                <w:sz w:val="18"/>
                <w:szCs w:val="18"/>
              </w:rPr>
            </w:pPr>
          </w:p>
          <w:p w14:paraId="76DBF9B6" w14:textId="28599AF2" w:rsidR="00B8665E" w:rsidRDefault="00B8665E" w:rsidP="00C4304F">
            <w:pPr>
              <w:jc w:val="left"/>
              <w:rPr>
                <w:rFonts w:eastAsiaTheme="minorEastAsia" w:cs="Arial"/>
                <w:color w:val="000000" w:themeColor="text1"/>
                <w:sz w:val="18"/>
                <w:szCs w:val="18"/>
              </w:rPr>
            </w:pPr>
          </w:p>
          <w:p w14:paraId="109A08A3" w14:textId="77777777" w:rsidR="00B8665E" w:rsidRDefault="00B8665E" w:rsidP="00C4304F">
            <w:pPr>
              <w:jc w:val="left"/>
              <w:rPr>
                <w:rFonts w:eastAsiaTheme="minorEastAsia" w:cs="Arial"/>
                <w:color w:val="000000" w:themeColor="text1"/>
                <w:sz w:val="18"/>
                <w:szCs w:val="18"/>
              </w:rPr>
            </w:pPr>
          </w:p>
          <w:p w14:paraId="7317710E" w14:textId="77777777" w:rsidR="00B8665E" w:rsidRDefault="00B8665E" w:rsidP="00C4304F">
            <w:pPr>
              <w:jc w:val="left"/>
              <w:rPr>
                <w:rFonts w:eastAsiaTheme="minorEastAsia" w:cs="Arial"/>
                <w:color w:val="000000" w:themeColor="text1"/>
                <w:sz w:val="18"/>
                <w:szCs w:val="18"/>
              </w:rPr>
            </w:pPr>
          </w:p>
          <w:p w14:paraId="2510D9CF" w14:textId="77777777" w:rsidR="00B8665E" w:rsidRDefault="00B8665E" w:rsidP="00C4304F">
            <w:pPr>
              <w:jc w:val="left"/>
              <w:rPr>
                <w:rFonts w:eastAsiaTheme="minorEastAsia" w:cs="Arial"/>
                <w:color w:val="000000" w:themeColor="text1"/>
                <w:sz w:val="18"/>
                <w:szCs w:val="18"/>
              </w:rPr>
            </w:pPr>
          </w:p>
          <w:p w14:paraId="6B03FDC8" w14:textId="632F4AE8" w:rsidR="00B8665E" w:rsidRDefault="00B8665E" w:rsidP="00C4304F">
            <w:pPr>
              <w:jc w:val="left"/>
              <w:rPr>
                <w:rFonts w:eastAsiaTheme="minorEastAsia" w:cs="Arial"/>
                <w:color w:val="000000" w:themeColor="text1"/>
                <w:sz w:val="18"/>
                <w:szCs w:val="18"/>
              </w:rPr>
            </w:pPr>
            <w:r>
              <w:rPr>
                <w:rFonts w:eastAsiaTheme="minorEastAsia" w:cs="Arial"/>
                <w:color w:val="000000" w:themeColor="text1"/>
                <w:sz w:val="18"/>
                <w:szCs w:val="18"/>
              </w:rPr>
              <w:t>Pension Agency Cash and Cash Equivalent Policy</w:t>
            </w:r>
          </w:p>
          <w:p w14:paraId="4D25A5D2" w14:textId="12809C97" w:rsidR="00B8665E" w:rsidRPr="00C4304F" w:rsidRDefault="00B8665E" w:rsidP="00C4304F">
            <w:pPr>
              <w:jc w:val="left"/>
              <w:rPr>
                <w:rFonts w:eastAsiaTheme="minorEastAsia" w:cs="Arial"/>
                <w:b/>
                <w:color w:val="000000" w:themeColor="text1"/>
                <w:sz w:val="18"/>
                <w:szCs w:val="18"/>
              </w:rPr>
            </w:pPr>
          </w:p>
        </w:tc>
        <w:tc>
          <w:tcPr>
            <w:tcW w:w="1795" w:type="dxa"/>
          </w:tcPr>
          <w:p w14:paraId="31CB1BE8" w14:textId="77777777" w:rsidR="007F64EA" w:rsidRDefault="007F64EA" w:rsidP="00C4304F">
            <w:pPr>
              <w:jc w:val="left"/>
              <w:rPr>
                <w:rFonts w:cs="Arial"/>
                <w:bCs/>
                <w:sz w:val="18"/>
                <w:szCs w:val="18"/>
              </w:rPr>
            </w:pPr>
          </w:p>
          <w:p w14:paraId="49A25752" w14:textId="77777777" w:rsidR="007F64EA" w:rsidRDefault="007F64EA" w:rsidP="00C4304F">
            <w:pPr>
              <w:jc w:val="left"/>
              <w:rPr>
                <w:rFonts w:cs="Arial"/>
                <w:bCs/>
                <w:sz w:val="18"/>
                <w:szCs w:val="18"/>
              </w:rPr>
            </w:pPr>
          </w:p>
          <w:p w14:paraId="521BCD96" w14:textId="77777777" w:rsidR="00B77CFC" w:rsidRDefault="00B77CFC" w:rsidP="00C4304F">
            <w:pPr>
              <w:jc w:val="left"/>
              <w:rPr>
                <w:rFonts w:cs="Arial"/>
                <w:bCs/>
                <w:sz w:val="18"/>
                <w:szCs w:val="18"/>
              </w:rPr>
            </w:pPr>
          </w:p>
          <w:p w14:paraId="5EF5C0E5" w14:textId="7741428F" w:rsidR="00B77CFC" w:rsidRPr="00C4304F" w:rsidRDefault="00B77CFC" w:rsidP="00C4304F">
            <w:pPr>
              <w:jc w:val="left"/>
              <w:rPr>
                <w:rFonts w:cs="Arial"/>
                <w:sz w:val="18"/>
                <w:szCs w:val="18"/>
              </w:rPr>
            </w:pPr>
            <w:r w:rsidRPr="00C4304F">
              <w:rPr>
                <w:rFonts w:cs="Arial"/>
                <w:sz w:val="18"/>
                <w:szCs w:val="18"/>
              </w:rPr>
              <w:t>Regional and global economic outlook  worsens, creating pressures on the external balance and placing downward pressure on the GEL, leading increasing debt burden for foreign currency denominated public debt, and higher inflationary pressure.</w:t>
            </w:r>
          </w:p>
          <w:p w14:paraId="0192A48F" w14:textId="77777777" w:rsidR="003B4071" w:rsidRPr="00C4304F" w:rsidRDefault="003B4071" w:rsidP="00C4304F">
            <w:pPr>
              <w:jc w:val="left"/>
              <w:rPr>
                <w:rFonts w:cs="Arial"/>
                <w:sz w:val="18"/>
                <w:szCs w:val="18"/>
              </w:rPr>
            </w:pPr>
          </w:p>
          <w:p w14:paraId="489D61D0" w14:textId="77777777" w:rsidR="001B7484" w:rsidRDefault="001B7484" w:rsidP="00C4304F">
            <w:pPr>
              <w:jc w:val="left"/>
              <w:rPr>
                <w:rFonts w:cs="Arial"/>
                <w:bCs/>
                <w:sz w:val="18"/>
                <w:szCs w:val="18"/>
              </w:rPr>
            </w:pPr>
          </w:p>
          <w:p w14:paraId="191EA062" w14:textId="038B8A2B" w:rsidR="007F64EA" w:rsidRPr="00C4304F" w:rsidRDefault="001B7484" w:rsidP="00C4304F">
            <w:pPr>
              <w:jc w:val="left"/>
              <w:rPr>
                <w:rFonts w:cs="Arial"/>
                <w:sz w:val="18"/>
                <w:szCs w:val="18"/>
              </w:rPr>
            </w:pPr>
            <w:r w:rsidRPr="00C4304F">
              <w:rPr>
                <w:rFonts w:cs="Arial"/>
                <w:sz w:val="18"/>
                <w:szCs w:val="18"/>
              </w:rPr>
              <w:t>Changes in government may affect its commitment to reform measures envisaged under ADB support.</w:t>
            </w:r>
          </w:p>
          <w:p w14:paraId="1D3C1BD2" w14:textId="77777777" w:rsidR="003B4071" w:rsidRPr="00C4304F" w:rsidRDefault="003B4071" w:rsidP="00C4304F">
            <w:pPr>
              <w:jc w:val="left"/>
              <w:rPr>
                <w:rFonts w:cs="Arial"/>
                <w:sz w:val="18"/>
                <w:szCs w:val="18"/>
              </w:rPr>
            </w:pPr>
          </w:p>
          <w:p w14:paraId="04F732A2" w14:textId="77777777" w:rsidR="003B4071" w:rsidRPr="00C4304F" w:rsidRDefault="003B4071" w:rsidP="00C4304F">
            <w:pPr>
              <w:jc w:val="left"/>
              <w:rPr>
                <w:rFonts w:cs="Arial"/>
                <w:sz w:val="18"/>
                <w:szCs w:val="18"/>
              </w:rPr>
            </w:pPr>
          </w:p>
          <w:p w14:paraId="280F02EA" w14:textId="77777777" w:rsidR="003B4071" w:rsidRPr="00C4304F" w:rsidRDefault="003B4071" w:rsidP="00C4304F">
            <w:pPr>
              <w:jc w:val="left"/>
              <w:rPr>
                <w:rFonts w:cs="Arial"/>
                <w:sz w:val="18"/>
                <w:szCs w:val="18"/>
              </w:rPr>
            </w:pPr>
          </w:p>
          <w:p w14:paraId="385749CC" w14:textId="6878DBB6" w:rsidR="007F64EA" w:rsidRPr="00C4304F" w:rsidRDefault="001B7484" w:rsidP="00C4304F">
            <w:pPr>
              <w:jc w:val="left"/>
              <w:rPr>
                <w:rFonts w:eastAsiaTheme="minorEastAsia" w:cs="Arial"/>
                <w:b/>
                <w:color w:val="000000" w:themeColor="text1"/>
                <w:sz w:val="18"/>
                <w:szCs w:val="18"/>
              </w:rPr>
            </w:pPr>
            <w:r w:rsidRPr="00C4304F">
              <w:rPr>
                <w:rFonts w:cs="Arial"/>
                <w:sz w:val="18"/>
                <w:szCs w:val="18"/>
              </w:rPr>
              <w:t>Pr</w:t>
            </w:r>
            <w:r w:rsidR="00CB59C9" w:rsidRPr="00C4304F">
              <w:rPr>
                <w:rFonts w:cs="Arial"/>
                <w:sz w:val="18"/>
                <w:szCs w:val="18"/>
              </w:rPr>
              <w:t>emature p</w:t>
            </w:r>
            <w:r w:rsidR="007F64EA" w:rsidRPr="00C4304F">
              <w:rPr>
                <w:rFonts w:cs="Arial"/>
                <w:sz w:val="18"/>
                <w:szCs w:val="18"/>
              </w:rPr>
              <w:t xml:space="preserve">hasing out of measures provided under the Anti-Crisis Plan </w:t>
            </w:r>
            <w:r w:rsidR="00CB59C9" w:rsidRPr="00C4304F">
              <w:rPr>
                <w:rFonts w:cs="Arial"/>
                <w:sz w:val="18"/>
                <w:szCs w:val="18"/>
              </w:rPr>
              <w:t xml:space="preserve">due to fiscal pressures </w:t>
            </w:r>
            <w:r w:rsidR="007F64EA" w:rsidRPr="00C4304F">
              <w:rPr>
                <w:rFonts w:cs="Arial"/>
                <w:sz w:val="18"/>
                <w:szCs w:val="18"/>
              </w:rPr>
              <w:t>lead to sharp increase in unemployment and poverty resurgence.</w:t>
            </w:r>
          </w:p>
        </w:tc>
      </w:tr>
    </w:tbl>
    <w:p w14:paraId="31591E87" w14:textId="77777777" w:rsidR="00762D3E" w:rsidRPr="00C4304F" w:rsidRDefault="00762D3E" w:rsidP="00762D3E">
      <w:pPr>
        <w:rPr>
          <w:rFonts w:eastAsiaTheme="minorEastAsia" w:cs="Arial"/>
          <w:b/>
          <w:color w:val="000000" w:themeColor="text1"/>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50"/>
      </w:tblGrid>
      <w:tr w:rsidR="00762D3E" w:rsidRPr="0003721E" w14:paraId="323C4690" w14:textId="77777777" w:rsidTr="7464BC5E">
        <w:trPr>
          <w:cantSplit/>
        </w:trPr>
        <w:tc>
          <w:tcPr>
            <w:tcW w:w="9576" w:type="dxa"/>
            <w:tcBorders>
              <w:top w:val="single" w:sz="4" w:space="0" w:color="auto"/>
            </w:tcBorders>
          </w:tcPr>
          <w:p w14:paraId="42F4DD83" w14:textId="5CEF8BDC" w:rsidR="00762D3E" w:rsidRPr="00C4304F" w:rsidRDefault="00762D3E" w:rsidP="00DA11CF">
            <w:pPr>
              <w:rPr>
                <w:rFonts w:eastAsiaTheme="minorEastAsia" w:cs="Arial"/>
                <w:b/>
                <w:color w:val="000000" w:themeColor="text1"/>
                <w:sz w:val="18"/>
                <w:szCs w:val="18"/>
              </w:rPr>
            </w:pPr>
            <w:r w:rsidRPr="00C4304F">
              <w:rPr>
                <w:rFonts w:eastAsiaTheme="minorEastAsia" w:cs="Arial"/>
                <w:b/>
                <w:color w:val="000000" w:themeColor="text1"/>
                <w:sz w:val="18"/>
                <w:szCs w:val="18"/>
              </w:rPr>
              <w:t>Budget Support</w:t>
            </w:r>
          </w:p>
          <w:p w14:paraId="5C61E287" w14:textId="594503F1" w:rsidR="009732CC" w:rsidRPr="00C4304F" w:rsidRDefault="00762D3E" w:rsidP="00DA11CF">
            <w:pPr>
              <w:rPr>
                <w:rFonts w:eastAsiaTheme="minorEastAsia" w:cs="Arial"/>
                <w:color w:val="000000" w:themeColor="text1"/>
                <w:sz w:val="18"/>
                <w:szCs w:val="18"/>
              </w:rPr>
            </w:pPr>
            <w:r w:rsidRPr="00C4304F">
              <w:rPr>
                <w:rFonts w:eastAsiaTheme="minorEastAsia" w:cs="Arial"/>
                <w:color w:val="000000" w:themeColor="text1"/>
                <w:sz w:val="18"/>
                <w:szCs w:val="18"/>
              </w:rPr>
              <w:t>ADB: $</w:t>
            </w:r>
            <w:r w:rsidR="00292A46" w:rsidRPr="00C4304F">
              <w:rPr>
                <w:rFonts w:eastAsiaTheme="minorEastAsia" w:cs="Arial"/>
                <w:color w:val="000000" w:themeColor="text1"/>
                <w:sz w:val="18"/>
                <w:szCs w:val="18"/>
              </w:rPr>
              <w:t>2</w:t>
            </w:r>
            <w:r w:rsidR="00D62D9F" w:rsidRPr="00C4304F">
              <w:rPr>
                <w:rFonts w:eastAsiaTheme="minorEastAsia" w:cs="Arial"/>
                <w:color w:val="000000" w:themeColor="text1"/>
                <w:sz w:val="18"/>
                <w:szCs w:val="18"/>
              </w:rPr>
              <w:t>00</w:t>
            </w:r>
            <w:r w:rsidR="75CCCDF3" w:rsidRPr="00C4304F">
              <w:rPr>
                <w:rFonts w:eastAsiaTheme="minorEastAsia" w:cs="Arial"/>
                <w:color w:val="000000" w:themeColor="text1"/>
                <w:sz w:val="18"/>
                <w:szCs w:val="18"/>
              </w:rPr>
              <w:t>,000,000 (loan)</w:t>
            </w:r>
          </w:p>
        </w:tc>
      </w:tr>
    </w:tbl>
    <w:p w14:paraId="217B6101" w14:textId="635CD85F" w:rsidR="00762D3E" w:rsidRPr="00D60EA0" w:rsidRDefault="00762D3E" w:rsidP="001D6AE4">
      <w:pPr>
        <w:autoSpaceDE w:val="0"/>
        <w:autoSpaceDN w:val="0"/>
        <w:adjustRightInd w:val="0"/>
        <w:rPr>
          <w:rFonts w:eastAsiaTheme="minorEastAsia" w:cs="Arial"/>
          <w:color w:val="000000" w:themeColor="text1"/>
          <w:sz w:val="18"/>
          <w:szCs w:val="18"/>
        </w:rPr>
      </w:pPr>
      <w:r w:rsidRPr="0003721E">
        <w:rPr>
          <w:rFonts w:eastAsiaTheme="minorEastAsia" w:cs="Arial"/>
          <w:color w:val="000000" w:themeColor="text1"/>
          <w:sz w:val="18"/>
          <w:szCs w:val="18"/>
        </w:rPr>
        <w:t>COVID-19 = coronavirus disease, GDP = gross domestic product, M</w:t>
      </w:r>
      <w:r w:rsidR="007C1C84">
        <w:rPr>
          <w:rFonts w:eastAsiaTheme="minorEastAsia" w:cs="Arial"/>
          <w:color w:val="000000" w:themeColor="text1"/>
          <w:sz w:val="18"/>
          <w:szCs w:val="18"/>
        </w:rPr>
        <w:t>OILHSA</w:t>
      </w:r>
      <w:r w:rsidRPr="0003721E">
        <w:rPr>
          <w:rFonts w:eastAsiaTheme="minorEastAsia" w:cs="Arial"/>
          <w:color w:val="000000" w:themeColor="text1"/>
          <w:sz w:val="18"/>
          <w:szCs w:val="18"/>
        </w:rPr>
        <w:t xml:space="preserve"> = Ministry of</w:t>
      </w:r>
      <w:r w:rsidR="007C1C84">
        <w:rPr>
          <w:rFonts w:eastAsiaTheme="minorEastAsia" w:cs="Arial"/>
          <w:color w:val="000000" w:themeColor="text1"/>
          <w:sz w:val="18"/>
          <w:szCs w:val="18"/>
        </w:rPr>
        <w:t xml:space="preserve"> Internally Displaced Persons from the Occupied Territories, Labour, Health and Social Affairs,</w:t>
      </w:r>
      <w:r w:rsidRPr="0003721E">
        <w:rPr>
          <w:rFonts w:eastAsiaTheme="minorEastAsia" w:cs="Arial"/>
          <w:color w:val="000000" w:themeColor="text1"/>
          <w:sz w:val="18"/>
          <w:szCs w:val="18"/>
        </w:rPr>
        <w:t xml:space="preserve"> MOF = Ministry of Finance, NA = not applicable, N</w:t>
      </w:r>
      <w:r w:rsidR="00D62D9F">
        <w:rPr>
          <w:rFonts w:eastAsiaTheme="minorEastAsia" w:cs="Arial"/>
          <w:color w:val="000000" w:themeColor="text1"/>
          <w:sz w:val="18"/>
          <w:szCs w:val="18"/>
        </w:rPr>
        <w:t>BG = National Bank of Georgia</w:t>
      </w:r>
      <w:r w:rsidRPr="0003721E">
        <w:rPr>
          <w:rFonts w:eastAsiaTheme="minorEastAsia" w:cs="Arial"/>
          <w:color w:val="000000" w:themeColor="text1"/>
          <w:sz w:val="18"/>
          <w:szCs w:val="18"/>
        </w:rPr>
        <w:t>,</w:t>
      </w:r>
      <w:r w:rsidR="00CD6AE2">
        <w:rPr>
          <w:rFonts w:eastAsiaTheme="minorEastAsia" w:cs="Arial"/>
          <w:color w:val="000000" w:themeColor="text1"/>
          <w:sz w:val="18"/>
          <w:szCs w:val="18"/>
        </w:rPr>
        <w:t xml:space="preserve"> PA = Pension Agency</w:t>
      </w:r>
      <w:r w:rsidR="002F6073">
        <w:rPr>
          <w:rFonts w:eastAsiaTheme="minorEastAsia" w:cs="Arial"/>
          <w:color w:val="000000" w:themeColor="text1"/>
          <w:sz w:val="18"/>
          <w:szCs w:val="18"/>
        </w:rPr>
        <w:t>,</w:t>
      </w:r>
      <w:r w:rsidRPr="0003721E">
        <w:rPr>
          <w:rFonts w:eastAsiaTheme="minorEastAsia" w:cs="Arial"/>
          <w:color w:val="000000" w:themeColor="text1"/>
          <w:sz w:val="18"/>
          <w:szCs w:val="18"/>
        </w:rPr>
        <w:t xml:space="preserve"> PFM = public financial management,</w:t>
      </w:r>
    </w:p>
    <w:p w14:paraId="76A0E9E6" w14:textId="365FEE5D" w:rsidR="004E43E4" w:rsidRPr="004E43E4" w:rsidRDefault="003B42E3" w:rsidP="127221FC">
      <w:pPr>
        <w:spacing w:after="120"/>
        <w:rPr>
          <w:rFonts w:eastAsiaTheme="minorEastAsia"/>
          <w:sz w:val="18"/>
          <w:szCs w:val="18"/>
        </w:rPr>
        <w:sectPr w:rsidR="004E43E4" w:rsidRPr="004E43E4" w:rsidSect="00D27DD1">
          <w:headerReference w:type="even" r:id="rId28"/>
          <w:headerReference w:type="default" r:id="rId29"/>
          <w:footnotePr>
            <w:numRestart w:val="eachSect"/>
          </w:footnotePr>
          <w:endnotePr>
            <w:numRestart w:val="eachSect"/>
          </w:endnotePr>
          <w:pgSz w:w="12240" w:h="15840" w:code="1"/>
          <w:pgMar w:top="1296" w:right="1440" w:bottom="1296" w:left="1440" w:header="720" w:footer="720" w:gutter="0"/>
          <w:cols w:space="720"/>
          <w:docGrid w:linePitch="299"/>
        </w:sectPr>
      </w:pPr>
      <w:r w:rsidRPr="001D6AE4">
        <w:rPr>
          <w:rFonts w:eastAsiaTheme="minorEastAsia"/>
          <w:sz w:val="18"/>
          <w:szCs w:val="18"/>
          <w:vertAlign w:val="superscript"/>
        </w:rPr>
        <w:t>a</w:t>
      </w:r>
      <w:r w:rsidRPr="5F437A2A">
        <w:rPr>
          <w:rFonts w:eastAsiaTheme="minorEastAsia"/>
          <w:sz w:val="18"/>
          <w:szCs w:val="18"/>
          <w:vertAlign w:val="superscript"/>
        </w:rPr>
        <w:t xml:space="preserve">  </w:t>
      </w:r>
      <w:r w:rsidR="002365F9" w:rsidRPr="5F437A2A">
        <w:rPr>
          <w:rFonts w:eastAsiaTheme="minorEastAsia"/>
          <w:sz w:val="18"/>
          <w:szCs w:val="18"/>
        </w:rPr>
        <w:t xml:space="preserve"> </w:t>
      </w:r>
      <w:hyperlink r:id="rId30" w:history="1">
        <w:r w:rsidR="00184865" w:rsidRPr="5F437A2A">
          <w:rPr>
            <w:rStyle w:val="Hyperlink"/>
            <w:rFonts w:eastAsiaTheme="minorEastAsia"/>
            <w:sz w:val="18"/>
            <w:szCs w:val="18"/>
          </w:rPr>
          <w:t>So</w:t>
        </w:r>
        <w:r w:rsidR="00DC064B" w:rsidRPr="5F437A2A">
          <w:rPr>
            <w:rStyle w:val="Hyperlink"/>
            <w:rFonts w:eastAsiaTheme="minorEastAsia"/>
            <w:sz w:val="18"/>
            <w:szCs w:val="18"/>
          </w:rPr>
          <w:t>cio-economic Development Strategy of Georgia:</w:t>
        </w:r>
      </w:hyperlink>
      <w:r w:rsidR="00DC064B" w:rsidRPr="5F437A2A">
        <w:rPr>
          <w:rFonts w:eastAsiaTheme="minorEastAsia"/>
          <w:sz w:val="18"/>
          <w:szCs w:val="18"/>
        </w:rPr>
        <w:t xml:space="preserve"> </w:t>
      </w:r>
      <w:hyperlink r:id="rId31">
        <w:r w:rsidRPr="5F437A2A">
          <w:rPr>
            <w:rStyle w:val="Hyperlink"/>
            <w:rFonts w:eastAsiaTheme="minorEastAsia"/>
            <w:sz w:val="18"/>
            <w:szCs w:val="18"/>
          </w:rPr>
          <w:t>Georgia 2020</w:t>
        </w:r>
      </w:hyperlink>
      <w:r w:rsidR="002365F9" w:rsidRPr="5F437A2A">
        <w:rPr>
          <w:rFonts w:eastAsiaTheme="minorEastAsia"/>
          <w:sz w:val="18"/>
          <w:szCs w:val="18"/>
        </w:rPr>
        <w:t>.</w:t>
      </w:r>
      <w:r w:rsidR="006634E0" w:rsidRPr="5F437A2A">
        <w:rPr>
          <w:rFonts w:eastAsiaTheme="minorEastAsia"/>
          <w:sz w:val="18"/>
          <w:szCs w:val="18"/>
        </w:rPr>
        <w:t xml:space="preserve"> </w:t>
      </w:r>
    </w:p>
    <w:p w14:paraId="40DA23EB" w14:textId="0A4AB8C5" w:rsidR="00762D3E" w:rsidRPr="00C240FC" w:rsidRDefault="00E53DF4" w:rsidP="00AC2EB0">
      <w:pPr>
        <w:pStyle w:val="Appendix"/>
      </w:pPr>
      <w:bookmarkStart w:id="30" w:name="_Toc49870254"/>
      <w:r w:rsidRPr="00D043F8">
        <w:t xml:space="preserve">List </w:t>
      </w:r>
      <w:r>
        <w:t>o</w:t>
      </w:r>
      <w:r w:rsidRPr="00D043F8">
        <w:t>f Linked Documents</w:t>
      </w:r>
      <w:bookmarkEnd w:id="30"/>
    </w:p>
    <w:bookmarkEnd w:id="29"/>
    <w:p w14:paraId="620D2398" w14:textId="1D6A5754" w:rsidR="00EA5FF6" w:rsidRDefault="00EA5FF6" w:rsidP="00BD2CCC">
      <w:pPr>
        <w:jc w:val="left"/>
      </w:pPr>
    </w:p>
    <w:p w14:paraId="72F96769" w14:textId="77777777" w:rsidR="00E53DF4" w:rsidRPr="007C0529" w:rsidRDefault="00E53DF4" w:rsidP="00E53DF4">
      <w:pPr>
        <w:pStyle w:val="ListParagraph"/>
        <w:numPr>
          <w:ilvl w:val="0"/>
          <w:numId w:val="20"/>
        </w:numPr>
        <w:ind w:hanging="720"/>
        <w:rPr>
          <w:rFonts w:cs="Arial"/>
          <w:bCs/>
          <w:szCs w:val="22"/>
        </w:rPr>
      </w:pPr>
      <w:r w:rsidRPr="0003721E">
        <w:rPr>
          <w:rFonts w:cs="Arial"/>
          <w:color w:val="000000" w:themeColor="text1"/>
          <w:szCs w:val="22"/>
        </w:rPr>
        <w:t>Loan Agreement</w:t>
      </w:r>
    </w:p>
    <w:p w14:paraId="5B228F40" w14:textId="3FBA2C8C" w:rsidR="007C0529" w:rsidRPr="007C0529" w:rsidRDefault="007C0529" w:rsidP="007C0529">
      <w:pPr>
        <w:pStyle w:val="ListParagraph"/>
        <w:numPr>
          <w:ilvl w:val="0"/>
          <w:numId w:val="20"/>
        </w:numPr>
        <w:ind w:hanging="720"/>
        <w:rPr>
          <w:rFonts w:cs="Arial"/>
          <w:bCs/>
          <w:szCs w:val="22"/>
        </w:rPr>
      </w:pPr>
      <w:r w:rsidRPr="007C0529">
        <w:rPr>
          <w:rFonts w:cs="Arial"/>
          <w:bCs/>
          <w:szCs w:val="22"/>
        </w:rPr>
        <w:t xml:space="preserve">Sector Assessment (Summary): Public Financial Management </w:t>
      </w:r>
    </w:p>
    <w:p w14:paraId="768367C5" w14:textId="77777777" w:rsidR="00E53DF4" w:rsidRPr="006347AF" w:rsidRDefault="00120923" w:rsidP="00E53DF4">
      <w:pPr>
        <w:pStyle w:val="ListParagraph"/>
        <w:numPr>
          <w:ilvl w:val="0"/>
          <w:numId w:val="20"/>
        </w:numPr>
        <w:ind w:hanging="720"/>
        <w:rPr>
          <w:rStyle w:val="Hyperlink"/>
          <w:rFonts w:cs="Arial"/>
          <w:bCs/>
          <w:color w:val="auto"/>
          <w:szCs w:val="22"/>
          <w:u w:val="none"/>
        </w:rPr>
      </w:pPr>
      <w:hyperlink r:id="rId32" w:history="1">
        <w:r w:rsidR="00E53DF4" w:rsidRPr="006347AF">
          <w:rPr>
            <w:rStyle w:val="Hyperlink"/>
            <w:rFonts w:cs="Arial"/>
            <w:color w:val="000000" w:themeColor="text1"/>
            <w:szCs w:val="22"/>
            <w:u w:val="none"/>
          </w:rPr>
          <w:t>Development Coordination</w:t>
        </w:r>
      </w:hyperlink>
    </w:p>
    <w:p w14:paraId="2A30D81E" w14:textId="331BE024" w:rsidR="00E53DF4" w:rsidRPr="006347AF" w:rsidRDefault="00E53DF4" w:rsidP="00E53DF4">
      <w:pPr>
        <w:pStyle w:val="ListParagraph"/>
        <w:numPr>
          <w:ilvl w:val="0"/>
          <w:numId w:val="20"/>
        </w:numPr>
        <w:ind w:hanging="720"/>
        <w:rPr>
          <w:rStyle w:val="Hyperlink"/>
          <w:rFonts w:cs="Arial"/>
          <w:bCs/>
          <w:color w:val="auto"/>
          <w:szCs w:val="22"/>
          <w:u w:val="none"/>
        </w:rPr>
      </w:pPr>
      <w:r w:rsidRPr="006347AF">
        <w:t xml:space="preserve">International Monetary Fund </w:t>
      </w:r>
      <w:r w:rsidR="00FB0502">
        <w:t>Assessment Letter</w:t>
      </w:r>
      <w:r w:rsidR="00840033">
        <w:rPr>
          <w:rStyle w:val="FootnoteReference"/>
        </w:rPr>
        <w:footnoteReference w:id="62"/>
      </w:r>
    </w:p>
    <w:p w14:paraId="2EDFD1F0" w14:textId="77777777" w:rsidR="00E53DF4" w:rsidRPr="006347AF" w:rsidRDefault="00120923" w:rsidP="00E53DF4">
      <w:pPr>
        <w:pStyle w:val="ListParagraph"/>
        <w:numPr>
          <w:ilvl w:val="0"/>
          <w:numId w:val="20"/>
        </w:numPr>
        <w:ind w:hanging="720"/>
        <w:rPr>
          <w:rStyle w:val="Hyperlink"/>
          <w:rFonts w:cs="Arial"/>
          <w:bCs/>
          <w:color w:val="auto"/>
          <w:szCs w:val="22"/>
          <w:u w:val="none"/>
        </w:rPr>
      </w:pPr>
      <w:hyperlink r:id="rId33" w:history="1">
        <w:r w:rsidR="00E53DF4" w:rsidRPr="006347AF">
          <w:rPr>
            <w:rStyle w:val="Hyperlink"/>
            <w:rFonts w:cs="Arial"/>
            <w:color w:val="000000" w:themeColor="text1"/>
            <w:szCs w:val="22"/>
            <w:u w:val="none"/>
          </w:rPr>
          <w:t>Summary Poverty Reduction and Social Strategy</w:t>
        </w:r>
      </w:hyperlink>
    </w:p>
    <w:p w14:paraId="5B85B243" w14:textId="77777777" w:rsidR="00E53DF4" w:rsidRPr="006347AF" w:rsidRDefault="00120923" w:rsidP="00E53DF4">
      <w:pPr>
        <w:pStyle w:val="ListParagraph"/>
        <w:numPr>
          <w:ilvl w:val="0"/>
          <w:numId w:val="20"/>
        </w:numPr>
        <w:ind w:hanging="720"/>
        <w:rPr>
          <w:rStyle w:val="Hyperlink"/>
          <w:rFonts w:cs="Arial"/>
          <w:bCs/>
          <w:color w:val="auto"/>
          <w:szCs w:val="22"/>
          <w:u w:val="none"/>
        </w:rPr>
      </w:pPr>
      <w:hyperlink r:id="rId34" w:history="1">
        <w:r w:rsidR="00E53DF4" w:rsidRPr="006347AF">
          <w:rPr>
            <w:rStyle w:val="Hyperlink"/>
            <w:rFonts w:cs="Arial"/>
            <w:color w:val="000000" w:themeColor="text1"/>
            <w:szCs w:val="22"/>
            <w:u w:val="none"/>
          </w:rPr>
          <w:t>Risk Assessment and Risk Management Plan</w:t>
        </w:r>
      </w:hyperlink>
    </w:p>
    <w:p w14:paraId="33149885" w14:textId="77777777" w:rsidR="00E53DF4" w:rsidRPr="006347AF" w:rsidRDefault="00120923" w:rsidP="00E53DF4">
      <w:pPr>
        <w:pStyle w:val="ListParagraph"/>
        <w:numPr>
          <w:ilvl w:val="0"/>
          <w:numId w:val="20"/>
        </w:numPr>
        <w:ind w:hanging="720"/>
        <w:rPr>
          <w:rStyle w:val="Hyperlink"/>
          <w:rFonts w:cs="Arial"/>
          <w:bCs/>
          <w:color w:val="auto"/>
          <w:szCs w:val="22"/>
          <w:u w:val="none"/>
        </w:rPr>
      </w:pPr>
      <w:hyperlink r:id="rId35" w:history="1">
        <w:r w:rsidR="00E53DF4" w:rsidRPr="006347AF">
          <w:rPr>
            <w:rStyle w:val="Hyperlink"/>
            <w:rFonts w:cs="Arial"/>
            <w:color w:val="000000" w:themeColor="text1"/>
            <w:szCs w:val="22"/>
            <w:u w:val="none"/>
          </w:rPr>
          <w:t>List of Ineligible Items</w:t>
        </w:r>
      </w:hyperlink>
    </w:p>
    <w:p w14:paraId="7CE9CFD7" w14:textId="1E1A498A" w:rsidR="00E027A3" w:rsidRPr="006E31B2" w:rsidRDefault="00195C65" w:rsidP="006E31B2">
      <w:pPr>
        <w:pStyle w:val="ListParagraph"/>
        <w:numPr>
          <w:ilvl w:val="0"/>
          <w:numId w:val="20"/>
        </w:numPr>
        <w:ind w:hanging="720"/>
        <w:rPr>
          <w:color w:val="000000" w:themeColor="text1"/>
        </w:rPr>
      </w:pPr>
      <w:r>
        <w:rPr>
          <w:rFonts w:eastAsia="Times New Roman" w:cs="Arial"/>
          <w:color w:val="000000" w:themeColor="text1"/>
          <w:lang w:val="en-PH"/>
        </w:rPr>
        <w:t>Country Economic Indicators</w:t>
      </w:r>
    </w:p>
    <w:p w14:paraId="2D164DF3" w14:textId="77777777" w:rsidR="007C0529" w:rsidRDefault="007C0529" w:rsidP="007C0529">
      <w:pPr>
        <w:pStyle w:val="ListParagraph"/>
        <w:rPr>
          <w:rFonts w:eastAsia="Times New Roman" w:cs="Arial"/>
          <w:color w:val="000000" w:themeColor="text1"/>
          <w:lang w:val="en-PH"/>
        </w:rPr>
      </w:pPr>
    </w:p>
    <w:p w14:paraId="1925FF35" w14:textId="11F5C0B1" w:rsidR="007C0529" w:rsidRPr="007C0529" w:rsidRDefault="007C0529" w:rsidP="007C0529">
      <w:pPr>
        <w:pStyle w:val="ListParagraph"/>
        <w:ind w:hanging="720"/>
        <w:rPr>
          <w:rFonts w:eastAsia="Times New Roman" w:cs="Arial"/>
          <w:b/>
          <w:bCs/>
          <w:color w:val="000000" w:themeColor="text1"/>
          <w:lang w:val="en-PH"/>
        </w:rPr>
      </w:pPr>
      <w:r w:rsidRPr="007C0529">
        <w:rPr>
          <w:rFonts w:eastAsia="Times New Roman" w:cs="Arial"/>
          <w:b/>
          <w:bCs/>
          <w:color w:val="000000" w:themeColor="text1"/>
          <w:lang w:val="en-PH"/>
        </w:rPr>
        <w:t>Supplementary Documents</w:t>
      </w:r>
    </w:p>
    <w:p w14:paraId="14185305" w14:textId="77777777" w:rsidR="007C0529" w:rsidRPr="00950EA0" w:rsidRDefault="007C0529" w:rsidP="007C0529">
      <w:pPr>
        <w:pStyle w:val="ListParagraph"/>
        <w:ind w:hanging="720"/>
        <w:rPr>
          <w:color w:val="000000" w:themeColor="text1"/>
        </w:rPr>
      </w:pPr>
    </w:p>
    <w:p w14:paraId="25B21A5A" w14:textId="6DF9C854" w:rsidR="009A2C21" w:rsidRPr="00950EA0" w:rsidRDefault="009A2C21" w:rsidP="00950EA0">
      <w:pPr>
        <w:pStyle w:val="ListParagraph"/>
        <w:numPr>
          <w:ilvl w:val="0"/>
          <w:numId w:val="20"/>
        </w:numPr>
        <w:ind w:hanging="720"/>
        <w:rPr>
          <w:rFonts w:cs="Arial"/>
        </w:rPr>
      </w:pPr>
      <w:r w:rsidRPr="00950EA0">
        <w:rPr>
          <w:rFonts w:eastAsia="Times New Roman" w:cs="Arial"/>
          <w:color w:val="000000" w:themeColor="text1"/>
          <w:lang w:val="en-PH"/>
        </w:rPr>
        <w:t>Sector Assessment (Summary): Social Protection </w:t>
      </w:r>
    </w:p>
    <w:p w14:paraId="3705870B" w14:textId="2730E74D" w:rsidR="00F256B2" w:rsidRPr="00195C65" w:rsidRDefault="00F256B2" w:rsidP="00195C65">
      <w:pPr>
        <w:pStyle w:val="ListParagraph"/>
        <w:numPr>
          <w:ilvl w:val="0"/>
          <w:numId w:val="20"/>
        </w:numPr>
        <w:ind w:hanging="720"/>
        <w:rPr>
          <w:color w:val="000000" w:themeColor="text1"/>
        </w:rPr>
      </w:pPr>
      <w:r>
        <w:rPr>
          <w:rFonts w:eastAsia="Times New Roman" w:cs="Arial"/>
          <w:color w:val="000000" w:themeColor="text1"/>
          <w:lang w:val="en-PH"/>
        </w:rPr>
        <w:t>Sector Assessment (Summary): Pension Reform</w:t>
      </w:r>
    </w:p>
    <w:p w14:paraId="7CA1BD5B" w14:textId="77777777" w:rsidR="009A2C21" w:rsidRPr="009A2C21" w:rsidRDefault="009A2C21" w:rsidP="00950EA0">
      <w:pPr>
        <w:ind w:left="360"/>
        <w:rPr>
          <w:rFonts w:cs="Arial"/>
          <w:bCs/>
        </w:rPr>
      </w:pPr>
    </w:p>
    <w:p w14:paraId="3CC6F0E0" w14:textId="77777777" w:rsidR="003D7976" w:rsidRDefault="003D7976" w:rsidP="00BD2CCC">
      <w:pPr>
        <w:jc w:val="left"/>
      </w:pPr>
    </w:p>
    <w:p w14:paraId="2D71119F" w14:textId="65BDCB77" w:rsidR="00EF3F54" w:rsidRDefault="00EF3F54" w:rsidP="00EF3F54">
      <w:pPr>
        <w:spacing w:after="120"/>
        <w:jc w:val="left"/>
        <w:rPr>
          <w:color w:val="FF0000"/>
        </w:rPr>
      </w:pPr>
    </w:p>
    <w:p w14:paraId="3D3371BE" w14:textId="799F53DF" w:rsidR="00EF3F54" w:rsidRDefault="00EF3F54" w:rsidP="00EF3F54">
      <w:pPr>
        <w:spacing w:after="120"/>
        <w:jc w:val="left"/>
        <w:rPr>
          <w:color w:val="FF0000"/>
        </w:rPr>
      </w:pPr>
    </w:p>
    <w:p w14:paraId="706187A6" w14:textId="689DCC09" w:rsidR="00EF3F54" w:rsidRDefault="00EF3F54" w:rsidP="00EF3F54">
      <w:pPr>
        <w:spacing w:after="120"/>
        <w:jc w:val="left"/>
        <w:rPr>
          <w:color w:val="FF0000"/>
        </w:rPr>
      </w:pPr>
    </w:p>
    <w:p w14:paraId="08A9624B" w14:textId="652C95BC" w:rsidR="00EF3F54" w:rsidRDefault="00EF3F54" w:rsidP="00EF3F54">
      <w:pPr>
        <w:spacing w:after="120"/>
        <w:jc w:val="left"/>
        <w:rPr>
          <w:color w:val="FF0000"/>
        </w:rPr>
      </w:pPr>
    </w:p>
    <w:p w14:paraId="7A7939DD" w14:textId="17ADDB0F" w:rsidR="00EF3F54" w:rsidRDefault="00EF3F54" w:rsidP="00EF3F54">
      <w:pPr>
        <w:spacing w:after="120"/>
        <w:jc w:val="left"/>
        <w:rPr>
          <w:color w:val="FF0000"/>
        </w:rPr>
      </w:pPr>
    </w:p>
    <w:p w14:paraId="03B98706" w14:textId="7F7DA9F9" w:rsidR="00EF3F54" w:rsidRDefault="00EF3F54" w:rsidP="00EF3F54">
      <w:pPr>
        <w:spacing w:after="120"/>
        <w:jc w:val="left"/>
        <w:rPr>
          <w:color w:val="FF0000"/>
        </w:rPr>
      </w:pPr>
    </w:p>
    <w:p w14:paraId="12EEA986" w14:textId="68EA3B17" w:rsidR="00EF3F54" w:rsidRDefault="00EF3F54" w:rsidP="00EF3F54">
      <w:pPr>
        <w:spacing w:after="120"/>
        <w:jc w:val="left"/>
        <w:rPr>
          <w:color w:val="FF0000"/>
        </w:rPr>
      </w:pPr>
    </w:p>
    <w:p w14:paraId="7CE9D125" w14:textId="310978F2" w:rsidR="00EF3F54" w:rsidRDefault="00EF3F54" w:rsidP="00EF3F54">
      <w:pPr>
        <w:spacing w:after="120"/>
        <w:jc w:val="left"/>
        <w:rPr>
          <w:color w:val="FF0000"/>
        </w:rPr>
      </w:pPr>
    </w:p>
    <w:p w14:paraId="5371A32C" w14:textId="77777777" w:rsidR="00EF3F54" w:rsidRDefault="00EF3F54" w:rsidP="00EF3F54">
      <w:pPr>
        <w:spacing w:after="120"/>
        <w:jc w:val="left"/>
        <w:rPr>
          <w:color w:val="FF0000"/>
        </w:rPr>
      </w:pPr>
    </w:p>
    <w:p w14:paraId="3AD20B2C" w14:textId="77777777" w:rsidR="00441256" w:rsidRDefault="00441256" w:rsidP="00441256">
      <w:pPr>
        <w:spacing w:after="120"/>
        <w:jc w:val="left"/>
        <w:rPr>
          <w:color w:val="FF0000"/>
        </w:rPr>
        <w:sectPr w:rsidR="00441256" w:rsidSect="00D27DD1">
          <w:headerReference w:type="even" r:id="rId36"/>
          <w:headerReference w:type="default" r:id="rId37"/>
          <w:footnotePr>
            <w:numRestart w:val="eachSect"/>
          </w:footnotePr>
          <w:endnotePr>
            <w:numRestart w:val="eachSect"/>
          </w:endnotePr>
          <w:pgSz w:w="12240" w:h="15840" w:code="1"/>
          <w:pgMar w:top="1296" w:right="1440" w:bottom="1296" w:left="1440" w:header="720" w:footer="720" w:gutter="0"/>
          <w:cols w:space="720"/>
          <w:docGrid w:linePitch="299"/>
        </w:sectPr>
      </w:pPr>
    </w:p>
    <w:p w14:paraId="27036656" w14:textId="2F38768C" w:rsidR="00730C14" w:rsidRPr="00D043F8" w:rsidRDefault="00E175AF" w:rsidP="00D043F8">
      <w:pPr>
        <w:pStyle w:val="Appendix"/>
      </w:pPr>
      <w:bookmarkStart w:id="31" w:name="_Toc49870255"/>
      <w:r w:rsidRPr="00D043F8">
        <w:t>Development Policy Letter</w:t>
      </w:r>
      <w:bookmarkEnd w:id="31"/>
    </w:p>
    <w:p w14:paraId="6D9AEE7A" w14:textId="21574FF8" w:rsidR="013C433B" w:rsidRDefault="013C433B" w:rsidP="002B1CB4">
      <w:pPr>
        <w:ind w:left="1440"/>
        <w:jc w:val="left"/>
        <w:rPr>
          <w:color w:val="FF0000"/>
          <w:sz w:val="18"/>
          <w:szCs w:val="18"/>
        </w:rPr>
      </w:pPr>
    </w:p>
    <w:p w14:paraId="391A673A" w14:textId="1F178AA3" w:rsidR="00441256" w:rsidRDefault="00337119" w:rsidP="00441256">
      <w:pPr>
        <w:spacing w:after="120"/>
        <w:jc w:val="left"/>
        <w:rPr>
          <w:rFonts w:cs="Arial"/>
          <w:color w:val="FF0000"/>
        </w:rPr>
      </w:pPr>
      <w:r>
        <w:rPr>
          <w:noProof/>
        </w:rPr>
        <w:drawing>
          <wp:inline distT="0" distB="0" distL="0" distR="0" wp14:anchorId="652E4C6E" wp14:editId="3C370129">
            <wp:extent cx="5495925" cy="8010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95925" cy="8010525"/>
                    </a:xfrm>
                    <a:prstGeom prst="rect">
                      <a:avLst/>
                    </a:prstGeom>
                  </pic:spPr>
                </pic:pic>
              </a:graphicData>
            </a:graphic>
          </wp:inline>
        </w:drawing>
      </w:r>
    </w:p>
    <w:p w14:paraId="7FAC1BED" w14:textId="7F2F9558" w:rsidR="00337119" w:rsidRDefault="0020387E" w:rsidP="00441256">
      <w:pPr>
        <w:spacing w:after="120"/>
        <w:jc w:val="left"/>
        <w:rPr>
          <w:rFonts w:cs="Arial"/>
          <w:color w:val="FF0000"/>
        </w:rPr>
      </w:pPr>
      <w:r>
        <w:rPr>
          <w:noProof/>
        </w:rPr>
        <w:drawing>
          <wp:inline distT="0" distB="0" distL="0" distR="0" wp14:anchorId="5F8147E1" wp14:editId="7DAF66C4">
            <wp:extent cx="5476875" cy="73056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76875" cy="7305675"/>
                    </a:xfrm>
                    <a:prstGeom prst="rect">
                      <a:avLst/>
                    </a:prstGeom>
                  </pic:spPr>
                </pic:pic>
              </a:graphicData>
            </a:graphic>
          </wp:inline>
        </w:drawing>
      </w:r>
    </w:p>
    <w:p w14:paraId="693DAD7D" w14:textId="77777777" w:rsidR="0020387E" w:rsidRDefault="0020387E" w:rsidP="00441256">
      <w:pPr>
        <w:spacing w:after="120"/>
        <w:jc w:val="left"/>
        <w:rPr>
          <w:rFonts w:cs="Arial"/>
          <w:color w:val="FF0000"/>
        </w:rPr>
      </w:pPr>
    </w:p>
    <w:p w14:paraId="66571671" w14:textId="77777777" w:rsidR="0020387E" w:rsidRDefault="0020387E" w:rsidP="00441256">
      <w:pPr>
        <w:spacing w:after="120"/>
        <w:jc w:val="left"/>
        <w:rPr>
          <w:rFonts w:cs="Arial"/>
          <w:color w:val="FF0000"/>
        </w:rPr>
      </w:pPr>
    </w:p>
    <w:p w14:paraId="726B522F" w14:textId="77777777" w:rsidR="0020387E" w:rsidRDefault="0020387E" w:rsidP="00441256">
      <w:pPr>
        <w:spacing w:after="120"/>
        <w:jc w:val="left"/>
        <w:rPr>
          <w:rFonts w:cs="Arial"/>
          <w:color w:val="FF0000"/>
        </w:rPr>
      </w:pPr>
    </w:p>
    <w:p w14:paraId="299E2440" w14:textId="77777777" w:rsidR="0020387E" w:rsidRDefault="0020387E" w:rsidP="00441256">
      <w:pPr>
        <w:spacing w:after="120"/>
        <w:jc w:val="left"/>
        <w:rPr>
          <w:rFonts w:cs="Arial"/>
          <w:color w:val="FF0000"/>
        </w:rPr>
      </w:pPr>
    </w:p>
    <w:p w14:paraId="2212E623" w14:textId="784681C1" w:rsidR="00337119" w:rsidRPr="00205CA9" w:rsidRDefault="00AD1D76" w:rsidP="00441256">
      <w:pPr>
        <w:spacing w:after="120"/>
        <w:jc w:val="left"/>
        <w:rPr>
          <w:rFonts w:cs="Arial"/>
          <w:color w:val="FF0000"/>
        </w:rPr>
      </w:pPr>
      <w:r>
        <w:rPr>
          <w:noProof/>
        </w:rPr>
        <w:drawing>
          <wp:inline distT="0" distB="0" distL="0" distR="0" wp14:anchorId="43ECD036" wp14:editId="6EFC6E46">
            <wp:extent cx="5191125" cy="61626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91125" cy="6162675"/>
                    </a:xfrm>
                    <a:prstGeom prst="rect">
                      <a:avLst/>
                    </a:prstGeom>
                  </pic:spPr>
                </pic:pic>
              </a:graphicData>
            </a:graphic>
          </wp:inline>
        </w:drawing>
      </w:r>
    </w:p>
    <w:p w14:paraId="0E2F1263" w14:textId="77777777" w:rsidR="00441256" w:rsidRDefault="00441256" w:rsidP="00441256">
      <w:pPr>
        <w:spacing w:after="120"/>
        <w:jc w:val="left"/>
        <w:rPr>
          <w:rFonts w:cs="Arial"/>
          <w:color w:val="FF0000"/>
        </w:rPr>
      </w:pPr>
    </w:p>
    <w:p w14:paraId="44F6FA7B" w14:textId="32E17415" w:rsidR="0020387E" w:rsidRPr="00205CA9" w:rsidRDefault="0020387E" w:rsidP="00441256">
      <w:pPr>
        <w:spacing w:after="120"/>
        <w:jc w:val="left"/>
        <w:rPr>
          <w:rFonts w:cs="Arial"/>
          <w:color w:val="FF0000"/>
        </w:rPr>
        <w:sectPr w:rsidR="0020387E" w:rsidRPr="00205CA9" w:rsidSect="00D27DD1">
          <w:headerReference w:type="even" r:id="rId41"/>
          <w:headerReference w:type="default" r:id="rId42"/>
          <w:footnotePr>
            <w:numRestart w:val="eachSect"/>
          </w:footnotePr>
          <w:endnotePr>
            <w:numRestart w:val="eachSect"/>
          </w:endnotePr>
          <w:pgSz w:w="12240" w:h="15840" w:code="1"/>
          <w:pgMar w:top="1296" w:right="1440" w:bottom="1296" w:left="1440" w:header="720" w:footer="720" w:gutter="0"/>
          <w:cols w:space="720"/>
          <w:docGrid w:linePitch="299"/>
        </w:sectPr>
      </w:pPr>
    </w:p>
    <w:p w14:paraId="4ADFC20F" w14:textId="6AFBA212" w:rsidR="00255FD0" w:rsidRPr="004D0D61" w:rsidRDefault="00E175AF" w:rsidP="004D0D61">
      <w:pPr>
        <w:pStyle w:val="Appendix"/>
        <w:spacing w:after="240"/>
        <w:rPr>
          <w:rFonts w:cs="Arial"/>
        </w:rPr>
      </w:pPr>
      <w:bookmarkStart w:id="32" w:name="_Toc49870256"/>
      <w:r w:rsidRPr="00205CA9">
        <w:rPr>
          <w:rFonts w:cs="Arial"/>
        </w:rPr>
        <w:t>Policy Matrix</w:t>
      </w:r>
      <w:bookmarkEnd w:id="32"/>
    </w:p>
    <w:tbl>
      <w:tblPr>
        <w:tblStyle w:val="TableGrid"/>
        <w:tblpPr w:leftFromText="180" w:rightFromText="180" w:vertAnchor="text" w:tblpY="1"/>
        <w:tblOverlap w:val="never"/>
        <w:tblW w:w="0" w:type="auto"/>
        <w:tblLook w:val="04A0" w:firstRow="1" w:lastRow="0" w:firstColumn="1" w:lastColumn="0" w:noHBand="0" w:noVBand="1"/>
      </w:tblPr>
      <w:tblGrid>
        <w:gridCol w:w="2353"/>
        <w:gridCol w:w="5522"/>
        <w:gridCol w:w="5363"/>
      </w:tblGrid>
      <w:tr w:rsidR="00153F75" w:rsidRPr="00AB4633" w14:paraId="3348C260" w14:textId="77777777" w:rsidTr="009C2DBA">
        <w:trPr>
          <w:tblHeader/>
        </w:trPr>
        <w:tc>
          <w:tcPr>
            <w:tcW w:w="0" w:type="auto"/>
            <w:tcBorders>
              <w:bottom w:val="single" w:sz="4" w:space="0" w:color="auto"/>
            </w:tcBorders>
            <w:shd w:val="clear" w:color="auto" w:fill="DAEEF3" w:themeFill="accent5" w:themeFillTint="33"/>
            <w:vAlign w:val="center"/>
          </w:tcPr>
          <w:p w14:paraId="55B91273" w14:textId="313340AD" w:rsidR="005603D5" w:rsidRPr="008F7BA7" w:rsidRDefault="005603D5" w:rsidP="009C2DBA">
            <w:pPr>
              <w:tabs>
                <w:tab w:val="left" w:pos="2493"/>
                <w:tab w:val="center" w:pos="6480"/>
              </w:tabs>
              <w:jc w:val="left"/>
              <w:rPr>
                <w:rFonts w:cs="Arial"/>
                <w:b/>
                <w:bCs/>
                <w:sz w:val="20"/>
                <w:szCs w:val="20"/>
              </w:rPr>
            </w:pPr>
            <w:r w:rsidRPr="008F7BA7">
              <w:rPr>
                <w:rFonts w:cs="Arial"/>
                <w:b/>
                <w:bCs/>
                <w:sz w:val="20"/>
                <w:szCs w:val="20"/>
              </w:rPr>
              <w:t>Reform areas</w:t>
            </w:r>
          </w:p>
        </w:tc>
        <w:tc>
          <w:tcPr>
            <w:tcW w:w="0" w:type="auto"/>
            <w:tcBorders>
              <w:bottom w:val="single" w:sz="4" w:space="0" w:color="auto"/>
            </w:tcBorders>
            <w:shd w:val="clear" w:color="auto" w:fill="DAEEF3" w:themeFill="accent5" w:themeFillTint="33"/>
            <w:vAlign w:val="center"/>
          </w:tcPr>
          <w:p w14:paraId="3805B280" w14:textId="6B69BFFE" w:rsidR="005603D5" w:rsidRPr="008F7BA7" w:rsidRDefault="009A6AED" w:rsidP="009C2DBA">
            <w:pPr>
              <w:tabs>
                <w:tab w:val="left" w:pos="2493"/>
                <w:tab w:val="center" w:pos="6480"/>
              </w:tabs>
              <w:jc w:val="center"/>
              <w:rPr>
                <w:rFonts w:cs="Arial"/>
                <w:b/>
                <w:bCs/>
                <w:sz w:val="20"/>
                <w:szCs w:val="20"/>
              </w:rPr>
            </w:pPr>
            <w:r>
              <w:rPr>
                <w:rFonts w:cs="Arial"/>
                <w:b/>
                <w:bCs/>
                <w:sz w:val="20"/>
                <w:szCs w:val="20"/>
              </w:rPr>
              <w:t xml:space="preserve">Subprogram 1 </w:t>
            </w:r>
            <w:r w:rsidR="00540EB9" w:rsidRPr="008F7BA7">
              <w:rPr>
                <w:rFonts w:cs="Arial"/>
                <w:b/>
                <w:bCs/>
                <w:sz w:val="20"/>
                <w:szCs w:val="20"/>
              </w:rPr>
              <w:t>Policy Actions (</w:t>
            </w:r>
            <w:r>
              <w:rPr>
                <w:rFonts w:cs="Arial"/>
                <w:b/>
                <w:bCs/>
                <w:sz w:val="20"/>
                <w:szCs w:val="20"/>
              </w:rPr>
              <w:t>December 2018 – September 2020</w:t>
            </w:r>
            <w:r w:rsidR="00540EB9" w:rsidRPr="008F7BA7">
              <w:rPr>
                <w:rFonts w:cs="Arial"/>
                <w:b/>
                <w:bCs/>
                <w:sz w:val="20"/>
                <w:szCs w:val="20"/>
              </w:rPr>
              <w:t>)</w:t>
            </w:r>
          </w:p>
        </w:tc>
        <w:tc>
          <w:tcPr>
            <w:tcW w:w="0" w:type="auto"/>
            <w:shd w:val="clear" w:color="auto" w:fill="DAEEF3" w:themeFill="accent5" w:themeFillTint="33"/>
            <w:vAlign w:val="center"/>
          </w:tcPr>
          <w:p w14:paraId="4D9DA17B" w14:textId="2A73E70F" w:rsidR="00AB4633" w:rsidRPr="008F7BA7" w:rsidRDefault="009A6AED" w:rsidP="009C2DBA">
            <w:pPr>
              <w:tabs>
                <w:tab w:val="left" w:pos="2493"/>
                <w:tab w:val="center" w:pos="6480"/>
              </w:tabs>
              <w:jc w:val="center"/>
              <w:rPr>
                <w:rFonts w:cs="Arial"/>
                <w:b/>
                <w:bCs/>
                <w:sz w:val="20"/>
                <w:szCs w:val="20"/>
              </w:rPr>
            </w:pPr>
            <w:r>
              <w:rPr>
                <w:rFonts w:cs="Arial"/>
                <w:b/>
                <w:bCs/>
                <w:sz w:val="20"/>
                <w:szCs w:val="20"/>
              </w:rPr>
              <w:t xml:space="preserve">Subprogram 2 </w:t>
            </w:r>
            <w:r w:rsidR="004A105E">
              <w:rPr>
                <w:rFonts w:cs="Arial"/>
                <w:b/>
                <w:bCs/>
                <w:sz w:val="20"/>
                <w:szCs w:val="20"/>
              </w:rPr>
              <w:t xml:space="preserve">Indicative </w:t>
            </w:r>
            <w:r w:rsidR="00087238" w:rsidRPr="008F7BA7">
              <w:rPr>
                <w:rFonts w:cs="Arial"/>
                <w:b/>
                <w:bCs/>
                <w:sz w:val="20"/>
                <w:szCs w:val="20"/>
              </w:rPr>
              <w:t>Policy Actions (</w:t>
            </w:r>
            <w:r w:rsidR="00C13963">
              <w:rPr>
                <w:rFonts w:cs="Arial"/>
                <w:b/>
                <w:bCs/>
                <w:sz w:val="20"/>
                <w:szCs w:val="20"/>
              </w:rPr>
              <w:t>October 2020 – October 2021</w:t>
            </w:r>
            <w:r w:rsidR="00087238" w:rsidRPr="008F7BA7">
              <w:rPr>
                <w:rFonts w:cs="Arial"/>
                <w:b/>
                <w:bCs/>
                <w:sz w:val="20"/>
                <w:szCs w:val="20"/>
              </w:rPr>
              <w:t>)</w:t>
            </w:r>
          </w:p>
        </w:tc>
      </w:tr>
      <w:tr w:rsidR="00153F75" w14:paraId="33932599" w14:textId="77777777" w:rsidTr="009C2DBA">
        <w:tc>
          <w:tcPr>
            <w:tcW w:w="0" w:type="auto"/>
            <w:tcBorders>
              <w:bottom w:val="single" w:sz="4" w:space="0" w:color="auto"/>
            </w:tcBorders>
          </w:tcPr>
          <w:p w14:paraId="0955BCC9" w14:textId="3E0EC923" w:rsidR="0081007C" w:rsidRPr="00AD0852" w:rsidRDefault="0081007C" w:rsidP="004D0D61">
            <w:pPr>
              <w:tabs>
                <w:tab w:val="left" w:pos="2493"/>
                <w:tab w:val="center" w:pos="6480"/>
              </w:tabs>
              <w:jc w:val="left"/>
              <w:rPr>
                <w:rFonts w:cs="Arial"/>
              </w:rPr>
            </w:pPr>
            <w:r w:rsidRPr="00AD0852">
              <w:rPr>
                <w:rFonts w:cs="Arial"/>
              </w:rPr>
              <w:t xml:space="preserve">1. </w:t>
            </w:r>
            <w:r w:rsidR="004F17C8" w:rsidRPr="008145CD">
              <w:rPr>
                <w:rFonts w:cs="Arial"/>
              </w:rPr>
              <w:t>Management of public exposure to fiscal risks is strengthened.</w:t>
            </w:r>
          </w:p>
        </w:tc>
        <w:tc>
          <w:tcPr>
            <w:tcW w:w="0" w:type="auto"/>
            <w:tcBorders>
              <w:bottom w:val="single" w:sz="4" w:space="0" w:color="auto"/>
            </w:tcBorders>
          </w:tcPr>
          <w:p w14:paraId="6DF1F430" w14:textId="5B99C51D" w:rsidR="004426A7" w:rsidRPr="00460A78" w:rsidRDefault="00D476EE" w:rsidP="009C2DBA">
            <w:pPr>
              <w:autoSpaceDE w:val="0"/>
              <w:autoSpaceDN w:val="0"/>
              <w:adjustRightInd w:val="0"/>
              <w:rPr>
                <w:rFonts w:eastAsiaTheme="minorEastAsia" w:cs="Arial"/>
                <w:color w:val="000000" w:themeColor="text1"/>
              </w:rPr>
            </w:pPr>
            <w:r>
              <w:rPr>
                <w:rFonts w:cs="Arial"/>
              </w:rPr>
              <w:t xml:space="preserve">1. </w:t>
            </w:r>
            <w:r w:rsidR="004426A7" w:rsidRPr="00460A78">
              <w:rPr>
                <w:rFonts w:cs="Arial"/>
              </w:rPr>
              <w:t xml:space="preserve">MOF fully operationalized a dedicated Fiscal Risk Management </w:t>
            </w:r>
            <w:r w:rsidR="00901CA2">
              <w:rPr>
                <w:rFonts w:cs="Arial"/>
              </w:rPr>
              <w:t>Division</w:t>
            </w:r>
            <w:r w:rsidR="004426A7" w:rsidRPr="00460A78">
              <w:rPr>
                <w:rFonts w:cs="Arial"/>
              </w:rPr>
              <w:t>,</w:t>
            </w:r>
            <w:r w:rsidR="00221857">
              <w:rPr>
                <w:rFonts w:cs="Arial"/>
              </w:rPr>
              <w:t xml:space="preserve"> which </w:t>
            </w:r>
            <w:r w:rsidR="004426A7" w:rsidRPr="004426A7">
              <w:rPr>
                <w:bCs/>
              </w:rPr>
              <w:t>assess and quantify public exposure to fiscal risks stemming from SOEs and PPPs which are more likely to materialize as a result of the COVID-19 crisis</w:t>
            </w:r>
            <w:r w:rsidR="004426A7" w:rsidRPr="008145CD">
              <w:rPr>
                <w:bCs/>
              </w:rPr>
              <w:t>, staffed with</w:t>
            </w:r>
            <w:r w:rsidR="00221857">
              <w:rPr>
                <w:bCs/>
              </w:rPr>
              <w:t xml:space="preserve"> at least</w:t>
            </w:r>
            <w:r w:rsidR="004426A7" w:rsidRPr="008145CD">
              <w:rPr>
                <w:bCs/>
              </w:rPr>
              <w:t xml:space="preserve"> 7 technical staff of which at least </w:t>
            </w:r>
            <w:r w:rsidR="00221857">
              <w:rPr>
                <w:bCs/>
              </w:rPr>
              <w:t>7</w:t>
            </w:r>
            <w:r w:rsidR="004426A7" w:rsidRPr="008145CD">
              <w:rPr>
                <w:bCs/>
              </w:rPr>
              <w:t>5% are women.</w:t>
            </w:r>
            <w:r w:rsidR="004426A7" w:rsidRPr="00460A78">
              <w:rPr>
                <w:rFonts w:cs="Arial"/>
              </w:rPr>
              <w:t xml:space="preserve"> </w:t>
            </w:r>
          </w:p>
          <w:p w14:paraId="36395F3C" w14:textId="3E43E623" w:rsidR="00102686" w:rsidRPr="00995F04" w:rsidRDefault="0050564B" w:rsidP="00460A78">
            <w:pPr>
              <w:pStyle w:val="Heading3"/>
              <w:numPr>
                <w:ilvl w:val="0"/>
                <w:numId w:val="0"/>
              </w:numPr>
              <w:rPr>
                <w:rFonts w:cs="Arial"/>
              </w:rPr>
            </w:pPr>
            <w:r w:rsidRPr="00995F04">
              <w:rPr>
                <w:rFonts w:cs="Arial"/>
              </w:rPr>
              <w:t xml:space="preserve">(Documents required: </w:t>
            </w:r>
            <w:r w:rsidR="00670C5A" w:rsidRPr="00995F04">
              <w:rPr>
                <w:rFonts w:cs="Arial"/>
              </w:rPr>
              <w:t xml:space="preserve">MOF </w:t>
            </w:r>
            <w:r w:rsidR="00F57C85" w:rsidRPr="00995F04">
              <w:rPr>
                <w:rFonts w:cs="Arial"/>
              </w:rPr>
              <w:t>Ministerial Decree</w:t>
            </w:r>
            <w:r w:rsidR="00A37C68" w:rsidRPr="00995F04">
              <w:rPr>
                <w:rFonts w:cs="Arial"/>
              </w:rPr>
              <w:t xml:space="preserve"> and </w:t>
            </w:r>
            <w:r w:rsidR="00AF5CFC" w:rsidRPr="00995F04">
              <w:rPr>
                <w:rFonts w:cs="Arial"/>
              </w:rPr>
              <w:t>Letter from Ministry of Finance confirming engagement</w:t>
            </w:r>
            <w:r w:rsidR="00C166FB" w:rsidRPr="00995F04">
              <w:rPr>
                <w:rFonts w:cs="Arial"/>
              </w:rPr>
              <w:t xml:space="preserve"> of all 7 staff</w:t>
            </w:r>
            <w:r w:rsidR="00A37C68" w:rsidRPr="00995F04">
              <w:rPr>
                <w:rFonts w:cs="Arial"/>
              </w:rPr>
              <w:t>)</w:t>
            </w:r>
          </w:p>
          <w:p w14:paraId="7B22F463" w14:textId="77777777" w:rsidR="001E579F" w:rsidRDefault="001E579F" w:rsidP="009C2DBA">
            <w:pPr>
              <w:pStyle w:val="Heading3"/>
              <w:numPr>
                <w:ilvl w:val="2"/>
                <w:numId w:val="0"/>
              </w:numPr>
              <w:ind w:left="90"/>
              <w:rPr>
                <w:b w:val="0"/>
              </w:rPr>
            </w:pPr>
          </w:p>
          <w:p w14:paraId="46AFF76D" w14:textId="7EFB6005" w:rsidR="00102686" w:rsidRPr="00995F04" w:rsidRDefault="00D476EE" w:rsidP="00A95013">
            <w:pPr>
              <w:rPr>
                <w:rFonts w:cs="Arial"/>
                <w:b/>
              </w:rPr>
            </w:pPr>
            <w:r>
              <w:rPr>
                <w:rFonts w:cs="Arial"/>
              </w:rPr>
              <w:t xml:space="preserve">2. </w:t>
            </w:r>
            <w:r w:rsidR="00102686" w:rsidRPr="00D75D87">
              <w:rPr>
                <w:rFonts w:cs="Arial"/>
              </w:rPr>
              <w:t>MOF approved PPP Guidelines which include methodological guidelines for the assessment of contingent liabilities and VfM methodology for PPP evaluations a</w:t>
            </w:r>
            <w:r w:rsidR="00102686" w:rsidRPr="00436397">
              <w:rPr>
                <w:rFonts w:cs="Arial"/>
              </w:rPr>
              <w:t>nd completes PPP framework</w:t>
            </w:r>
            <w:r w:rsidR="00484AB9">
              <w:rPr>
                <w:rFonts w:cs="Arial"/>
              </w:rPr>
              <w:t xml:space="preserve"> </w:t>
            </w:r>
            <w:r w:rsidR="002B2DA2">
              <w:rPr>
                <w:rFonts w:cs="Arial"/>
              </w:rPr>
              <w:t>that</w:t>
            </w:r>
            <w:r w:rsidR="00484AB9">
              <w:rPr>
                <w:rFonts w:cs="Arial"/>
              </w:rPr>
              <w:t xml:space="preserve"> </w:t>
            </w:r>
            <w:r w:rsidR="002B2DA2">
              <w:rPr>
                <w:rFonts w:cs="Arial"/>
              </w:rPr>
              <w:t>ensures adequate identification, monitoring and reporting</w:t>
            </w:r>
            <w:r w:rsidR="00484AB9">
              <w:rPr>
                <w:rFonts w:cs="Arial"/>
              </w:rPr>
              <w:t xml:space="preserve"> </w:t>
            </w:r>
            <w:r w:rsidR="002B2DA2">
              <w:rPr>
                <w:rFonts w:cs="Arial"/>
              </w:rPr>
              <w:t>of</w:t>
            </w:r>
            <w:r w:rsidR="00484AB9">
              <w:rPr>
                <w:rFonts w:cs="Arial"/>
              </w:rPr>
              <w:t xml:space="preserve"> fiscal risk</w:t>
            </w:r>
            <w:r w:rsidR="002B2DA2">
              <w:rPr>
                <w:rFonts w:cs="Arial"/>
              </w:rPr>
              <w:t xml:space="preserve"> stemming f</w:t>
            </w:r>
            <w:r w:rsidR="00322338">
              <w:rPr>
                <w:rFonts w:cs="Arial"/>
              </w:rPr>
              <w:t>rom PPPs</w:t>
            </w:r>
            <w:r w:rsidR="6362F90B">
              <w:rPr>
                <w:rFonts w:cs="Arial"/>
                <w:bCs/>
              </w:rPr>
              <w:t>.</w:t>
            </w:r>
            <w:r w:rsidR="32CB4F97">
              <w:rPr>
                <w:rFonts w:cs="Arial"/>
                <w:bCs/>
              </w:rPr>
              <w:t xml:space="preserve"> </w:t>
            </w:r>
            <w:r w:rsidR="32CB4F97" w:rsidRPr="00995F04">
              <w:rPr>
                <w:rFonts w:cs="Arial"/>
                <w:b/>
              </w:rPr>
              <w:t>(</w:t>
            </w:r>
            <w:r w:rsidR="393037C3" w:rsidRPr="009C6CFE">
              <w:rPr>
                <w:rFonts w:cs="Arial"/>
                <w:b/>
              </w:rPr>
              <w:t>Documents required</w:t>
            </w:r>
            <w:r w:rsidR="393037C3" w:rsidRPr="00C27BA5">
              <w:rPr>
                <w:rFonts w:cs="Arial"/>
                <w:b/>
              </w:rPr>
              <w:t>:</w:t>
            </w:r>
            <w:r w:rsidR="393037C3">
              <w:rPr>
                <w:rFonts w:cs="Arial"/>
                <w:b/>
                <w:bCs/>
              </w:rPr>
              <w:t xml:space="preserve"> </w:t>
            </w:r>
            <w:r w:rsidR="35F67BE3" w:rsidRPr="00995F04">
              <w:rPr>
                <w:rFonts w:cs="Arial"/>
                <w:b/>
              </w:rPr>
              <w:t xml:space="preserve">PPP Guidelines </w:t>
            </w:r>
            <w:r w:rsidR="35F67BE3" w:rsidRPr="009C6CFE">
              <w:rPr>
                <w:rFonts w:cs="Arial"/>
                <w:b/>
              </w:rPr>
              <w:t>and</w:t>
            </w:r>
            <w:r w:rsidR="35F67BE3">
              <w:rPr>
                <w:rFonts w:cs="Arial"/>
                <w:b/>
                <w:bCs/>
              </w:rPr>
              <w:t xml:space="preserve"> </w:t>
            </w:r>
            <w:r w:rsidR="35F67BE3" w:rsidRPr="00995F04">
              <w:rPr>
                <w:rFonts w:cs="Arial"/>
                <w:b/>
              </w:rPr>
              <w:t xml:space="preserve">VfM </w:t>
            </w:r>
            <w:r w:rsidR="2B2F297D" w:rsidRPr="00995F04">
              <w:rPr>
                <w:rFonts w:cs="Arial"/>
                <w:b/>
              </w:rPr>
              <w:t>methodology)</w:t>
            </w:r>
          </w:p>
          <w:p w14:paraId="4BDDE430" w14:textId="1C52972B" w:rsidR="00C27BA5" w:rsidRPr="00C27BA5" w:rsidRDefault="00C27BA5" w:rsidP="00C27BA5"/>
          <w:p w14:paraId="57CB761E" w14:textId="4B3C2BE1" w:rsidR="009E2008" w:rsidRPr="009E2008" w:rsidRDefault="00D476EE" w:rsidP="009E2008">
            <w:pPr>
              <w:pStyle w:val="Heading3"/>
              <w:numPr>
                <w:ilvl w:val="0"/>
                <w:numId w:val="0"/>
              </w:numPr>
              <w:rPr>
                <w:b w:val="0"/>
              </w:rPr>
            </w:pPr>
            <w:r>
              <w:rPr>
                <w:b w:val="0"/>
              </w:rPr>
              <w:t xml:space="preserve">3. </w:t>
            </w:r>
            <w:r w:rsidR="009E2008" w:rsidRPr="009E2008">
              <w:rPr>
                <w:rFonts w:cs="Arial"/>
                <w:b w:val="0"/>
              </w:rPr>
              <w:t>MOF, through the Fiscal Risk Management Division, expanded the scope of the Fiscal Risk Statement to include (i) disclosure and discussion of methodological instructions to identify, quantify, finance and report Quasi Fiscal Activities of SOEs; (ii) assessment of impact of COVID-19 on the likelihood that fiscal risks stemming from SOEs materialize in the short-medium term; (iii) expansion of fiscal risk analysis of SOEs from 12 to 13 individual SOEs; (iv) discussion on effect of SOE sectorization on Public Finance Statistics, including impact on public debt Law; (v) analysis of SOEs from sectoral perspective, with the aim of normalizing financial statements from SOEs; (vi) assessment of stock of PPP liabilities based on International Public Sector Accounting Standards (IPSAS32) and VfM methodology for PPPs included in the recently approved PPP guidelines; (vii) Include draft discussion of fiscal risks stemming from natural disasters affecting municipalities.</w:t>
            </w:r>
          </w:p>
          <w:p w14:paraId="393831AD" w14:textId="249B6567" w:rsidR="009E2008" w:rsidRPr="001F0487" w:rsidRDefault="009E2008" w:rsidP="008961C3">
            <w:pPr>
              <w:rPr>
                <w:rFonts w:cs="Arial"/>
                <w:b/>
              </w:rPr>
            </w:pPr>
            <w:r w:rsidRPr="00995F04">
              <w:rPr>
                <w:rFonts w:cs="Arial"/>
                <w:b/>
              </w:rPr>
              <w:t>(Documents required: MoF Fiscal Risk Statement 2020)</w:t>
            </w:r>
          </w:p>
        </w:tc>
        <w:tc>
          <w:tcPr>
            <w:tcW w:w="0" w:type="auto"/>
          </w:tcPr>
          <w:p w14:paraId="40B17B34" w14:textId="77777777" w:rsidR="00153F75" w:rsidRDefault="00153F75" w:rsidP="00153F75">
            <w:pPr>
              <w:pStyle w:val="Default"/>
              <w:rPr>
                <w:sz w:val="22"/>
                <w:szCs w:val="22"/>
              </w:rPr>
            </w:pPr>
            <w:r>
              <w:rPr>
                <w:sz w:val="22"/>
                <w:szCs w:val="22"/>
              </w:rPr>
              <w:t xml:space="preserve">1. GoG revises legislative framework of the SOE sector, increasing MOF’s role in SOE related fiscal risk management, developing a formal system to account and fund community service obligations, and increasing SOE accountability. </w:t>
            </w:r>
          </w:p>
          <w:p w14:paraId="7EC959E0" w14:textId="77777777" w:rsidR="00153F75" w:rsidRDefault="00153F75" w:rsidP="00153F75">
            <w:pPr>
              <w:pStyle w:val="Default"/>
              <w:rPr>
                <w:sz w:val="22"/>
                <w:szCs w:val="22"/>
              </w:rPr>
            </w:pPr>
          </w:p>
          <w:p w14:paraId="73D04198" w14:textId="46427683" w:rsidR="00153F75" w:rsidRDefault="00153F75" w:rsidP="00153F75">
            <w:pPr>
              <w:pStyle w:val="Default"/>
              <w:rPr>
                <w:sz w:val="22"/>
                <w:szCs w:val="22"/>
              </w:rPr>
            </w:pPr>
            <w:r>
              <w:rPr>
                <w:sz w:val="22"/>
                <w:szCs w:val="22"/>
              </w:rPr>
              <w:t xml:space="preserve">2. MOF publishes a ministerial statement which includes (i) a rationale for SOE ownership; (ii) competitive Neutrality of SOEs; and (iii) an analysis of corporate governance practices in comparison with the OECD guidelines on transparent and (iv) a merit-based appointments of supervisory boards for all SOEs defined as Public Interest Entities comprising 90% of annual turnover. This statement will inform reforms to SOE corporate governance. </w:t>
            </w:r>
          </w:p>
          <w:p w14:paraId="7DAA7595" w14:textId="77777777" w:rsidR="00153F75" w:rsidRDefault="00153F75" w:rsidP="00153F75">
            <w:pPr>
              <w:pStyle w:val="Default"/>
              <w:rPr>
                <w:sz w:val="22"/>
                <w:szCs w:val="22"/>
              </w:rPr>
            </w:pPr>
          </w:p>
          <w:p w14:paraId="3BD69EB4" w14:textId="714B55B2" w:rsidR="000C5FBB" w:rsidRPr="00153F75" w:rsidRDefault="00153F75" w:rsidP="00153F75">
            <w:pPr>
              <w:pStyle w:val="Default"/>
              <w:rPr>
                <w:sz w:val="22"/>
                <w:szCs w:val="22"/>
              </w:rPr>
            </w:pPr>
            <w:r>
              <w:rPr>
                <w:sz w:val="22"/>
                <w:szCs w:val="22"/>
              </w:rPr>
              <w:t xml:space="preserve">3. MOF identifies and discloses fiscal risks stemming from Natural Disasters, including climate change related disasters and published it on MOF’s website to ensure comprehensive and adequate identification and reporting of fiscal risks. </w:t>
            </w:r>
          </w:p>
        </w:tc>
      </w:tr>
      <w:tr w:rsidR="00153F75" w14:paraId="22EE2C99" w14:textId="77777777" w:rsidTr="009C2DBA">
        <w:tc>
          <w:tcPr>
            <w:tcW w:w="0" w:type="auto"/>
            <w:tcBorders>
              <w:bottom w:val="nil"/>
            </w:tcBorders>
          </w:tcPr>
          <w:p w14:paraId="0320CB38" w14:textId="32B2154C" w:rsidR="002630D2" w:rsidRPr="00AD0852" w:rsidRDefault="002630D2" w:rsidP="00995F04">
            <w:pPr>
              <w:tabs>
                <w:tab w:val="left" w:pos="2493"/>
                <w:tab w:val="center" w:pos="6480"/>
              </w:tabs>
              <w:jc w:val="left"/>
              <w:rPr>
                <w:rFonts w:cs="Arial"/>
              </w:rPr>
            </w:pPr>
            <w:r w:rsidRPr="00AD0852">
              <w:rPr>
                <w:rFonts w:cs="Arial"/>
              </w:rPr>
              <w:t xml:space="preserve">2. </w:t>
            </w:r>
            <w:r w:rsidR="004672BF" w:rsidRPr="00AD0852">
              <w:rPr>
                <w:rFonts w:cs="Arial"/>
              </w:rPr>
              <w:t>Domestic debt market for government securities is deepened.</w:t>
            </w:r>
          </w:p>
        </w:tc>
        <w:tc>
          <w:tcPr>
            <w:tcW w:w="0" w:type="auto"/>
            <w:vMerge w:val="restart"/>
          </w:tcPr>
          <w:p w14:paraId="23DA0951" w14:textId="5A690D0B" w:rsidR="00A0193C" w:rsidRDefault="00D476EE" w:rsidP="00995F04">
            <w:pPr>
              <w:tabs>
                <w:tab w:val="left" w:pos="2493"/>
                <w:tab w:val="center" w:pos="6480"/>
              </w:tabs>
              <w:jc w:val="left"/>
              <w:rPr>
                <w:bCs/>
              </w:rPr>
            </w:pPr>
            <w:r>
              <w:rPr>
                <w:bCs/>
              </w:rPr>
              <w:t xml:space="preserve">4. </w:t>
            </w:r>
            <w:r w:rsidR="008961C3" w:rsidRPr="008961C3">
              <w:rPr>
                <w:bCs/>
              </w:rPr>
              <w:t>MOF and NBG commenced Primary Dealer Pilot with appropriate rights and obligations and PD rules published and Primary Dealers System to promote activity on the primary and secondary markets, ensuring decreased public reliance on external debt to finance future fiscal stimulus packages as the one needed to mitigate the adverse socio-economic impacts of COVID-19.</w:t>
            </w:r>
          </w:p>
          <w:p w14:paraId="6BE01FE5" w14:textId="1CDD5BC4" w:rsidR="00D476EE" w:rsidRDefault="00B1645F" w:rsidP="00DD4ED4">
            <w:pPr>
              <w:tabs>
                <w:tab w:val="left" w:pos="2493"/>
                <w:tab w:val="center" w:pos="6480"/>
              </w:tabs>
              <w:jc w:val="left"/>
              <w:rPr>
                <w:b/>
              </w:rPr>
            </w:pPr>
            <w:r w:rsidRPr="00A0193C">
              <w:rPr>
                <w:b/>
              </w:rPr>
              <w:t>(</w:t>
            </w:r>
            <w:r w:rsidR="00670C5A" w:rsidRPr="00A0193C">
              <w:rPr>
                <w:b/>
              </w:rPr>
              <w:t xml:space="preserve">Documents required: </w:t>
            </w:r>
            <w:r w:rsidRPr="00A0193C">
              <w:rPr>
                <w:b/>
              </w:rPr>
              <w:t>M</w:t>
            </w:r>
            <w:r w:rsidR="00670C5A" w:rsidRPr="00A0193C">
              <w:rPr>
                <w:b/>
              </w:rPr>
              <w:t>emorandum of Understanding</w:t>
            </w:r>
            <w:r w:rsidR="00637D72" w:rsidRPr="00A0193C">
              <w:rPr>
                <w:b/>
              </w:rPr>
              <w:t xml:space="preserve"> between MOF, NBG and commercial banks</w:t>
            </w:r>
            <w:r w:rsidR="00670C5A" w:rsidRPr="00A0193C">
              <w:rPr>
                <w:b/>
              </w:rPr>
              <w:t>)</w:t>
            </w:r>
          </w:p>
          <w:p w14:paraId="1EB37126" w14:textId="77777777" w:rsidR="00685163" w:rsidRPr="00DD4ED4" w:rsidRDefault="00685163" w:rsidP="00DD4ED4">
            <w:pPr>
              <w:tabs>
                <w:tab w:val="left" w:pos="2493"/>
                <w:tab w:val="center" w:pos="6480"/>
              </w:tabs>
              <w:jc w:val="left"/>
              <w:rPr>
                <w:b/>
              </w:rPr>
            </w:pPr>
          </w:p>
          <w:p w14:paraId="371C797F" w14:textId="17C8258C" w:rsidR="00A0193C" w:rsidRDefault="00D476EE" w:rsidP="00DE5437">
            <w:pPr>
              <w:pStyle w:val="TOC3"/>
              <w:numPr>
                <w:ilvl w:val="0"/>
                <w:numId w:val="0"/>
              </w:numPr>
              <w:spacing w:before="0" w:after="0"/>
            </w:pPr>
            <w:r>
              <w:t xml:space="preserve">5. </w:t>
            </w:r>
            <w:r w:rsidR="00A531E6" w:rsidRPr="00A531E6">
              <w:t>MOF issued ministerial decree which mandates that the Debt Management Strategy is updated, approved and published on its website on an annual basis to increase predictability of the market for government domestic debt securities.</w:t>
            </w:r>
          </w:p>
          <w:p w14:paraId="66A3B596" w14:textId="0DCAD685" w:rsidR="0045192D" w:rsidRDefault="0045192D" w:rsidP="00995F04">
            <w:pPr>
              <w:pStyle w:val="TOC3"/>
              <w:numPr>
                <w:ilvl w:val="0"/>
                <w:numId w:val="0"/>
              </w:numPr>
              <w:spacing w:before="0" w:after="0"/>
              <w:jc w:val="left"/>
              <w:rPr>
                <w:b/>
              </w:rPr>
            </w:pPr>
            <w:r w:rsidRPr="00A0193C">
              <w:rPr>
                <w:b/>
              </w:rPr>
              <w:t>(Documents required</w:t>
            </w:r>
            <w:r w:rsidR="00A531E6">
              <w:rPr>
                <w:b/>
              </w:rPr>
              <w:t>:</w:t>
            </w:r>
            <w:r w:rsidRPr="00A0193C">
              <w:rPr>
                <w:b/>
              </w:rPr>
              <w:t xml:space="preserve"> MOF Ministerial Decree)</w:t>
            </w:r>
          </w:p>
          <w:p w14:paraId="06E14A10" w14:textId="77777777" w:rsidR="008D3A98" w:rsidRPr="008D3A98" w:rsidRDefault="008D3A98" w:rsidP="008D3A98"/>
          <w:p w14:paraId="33551131" w14:textId="11AFA53F" w:rsidR="0045192D" w:rsidRPr="00F23785" w:rsidRDefault="00D476EE" w:rsidP="00DE5437">
            <w:pPr>
              <w:pStyle w:val="TOC3"/>
              <w:numPr>
                <w:ilvl w:val="0"/>
                <w:numId w:val="0"/>
              </w:numPr>
              <w:spacing w:before="0" w:after="0"/>
              <w:rPr>
                <w:b/>
                <w:bCs/>
              </w:rPr>
            </w:pPr>
            <w:r>
              <w:t>6. M</w:t>
            </w:r>
            <w:r w:rsidR="004869CF">
              <w:t>O</w:t>
            </w:r>
            <w:r w:rsidR="004869CF" w:rsidRPr="004869CF">
              <w:t>F issued benchmark bonds with nominal value of at least GEL2 billion in 2020 to increase investor interest towards Georgian government securities and promote capital market development, which in turn ensures the growth of GEL liquidity</w:t>
            </w:r>
            <w:r w:rsidR="008D3A98" w:rsidRPr="008D3A98">
              <w:t xml:space="preserve">. </w:t>
            </w:r>
            <w:r w:rsidR="008D3A98" w:rsidRPr="008D3A98">
              <w:rPr>
                <w:b/>
                <w:bCs/>
              </w:rPr>
              <w:t xml:space="preserve">(Documents required: </w:t>
            </w:r>
            <w:r w:rsidR="004869CF">
              <w:rPr>
                <w:b/>
                <w:bCs/>
              </w:rPr>
              <w:t>MOF benchmark bond issue calendar</w:t>
            </w:r>
            <w:r w:rsidR="008D3A98" w:rsidRPr="008D3A98">
              <w:rPr>
                <w:b/>
                <w:bCs/>
              </w:rPr>
              <w:t>)</w:t>
            </w:r>
          </w:p>
          <w:p w14:paraId="695DEB82" w14:textId="77777777" w:rsidR="008D3A98" w:rsidRPr="0045192D" w:rsidRDefault="008D3A98" w:rsidP="00995F04">
            <w:pPr>
              <w:jc w:val="left"/>
            </w:pPr>
          </w:p>
          <w:p w14:paraId="1C20C67D" w14:textId="0804F225" w:rsidR="002630D2" w:rsidRPr="00204B01" w:rsidRDefault="00D476EE" w:rsidP="00921662">
            <w:pPr>
              <w:autoSpaceDE w:val="0"/>
              <w:autoSpaceDN w:val="0"/>
              <w:adjustRightInd w:val="0"/>
              <w:rPr>
                <w:rFonts w:eastAsiaTheme="minorEastAsia" w:cs="Arial"/>
                <w:color w:val="000000" w:themeColor="text1"/>
              </w:rPr>
            </w:pPr>
            <w:r>
              <w:rPr>
                <w:rFonts w:eastAsiaTheme="minorEastAsia" w:cs="Arial"/>
                <w:color w:val="000000" w:themeColor="text1"/>
              </w:rPr>
              <w:t xml:space="preserve">7. </w:t>
            </w:r>
            <w:r w:rsidR="00921662" w:rsidRPr="00921662">
              <w:rPr>
                <w:rFonts w:eastAsiaTheme="minorEastAsia" w:cs="Arial"/>
                <w:color w:val="000000" w:themeColor="text1"/>
              </w:rPr>
              <w:t>Parliament approved new Investment Funds Law needed to develop investment fund legal, regulatory and tax framework and creating an enabling environment for the development of capital markets in Georgia.</w:t>
            </w:r>
            <w:r w:rsidR="00204B01">
              <w:rPr>
                <w:rFonts w:eastAsiaTheme="minorEastAsia" w:cs="Arial"/>
                <w:color w:val="000000" w:themeColor="text1"/>
              </w:rPr>
              <w:t xml:space="preserve"> </w:t>
            </w:r>
            <w:r w:rsidR="00921662" w:rsidRPr="00921662">
              <w:rPr>
                <w:rFonts w:eastAsiaTheme="minorEastAsia" w:cs="Arial"/>
                <w:b/>
                <w:bCs/>
                <w:color w:val="000000" w:themeColor="text1"/>
              </w:rPr>
              <w:t>(Documents requires: Investment Funds Law)</w:t>
            </w:r>
          </w:p>
        </w:tc>
        <w:tc>
          <w:tcPr>
            <w:tcW w:w="0" w:type="auto"/>
            <w:vMerge w:val="restart"/>
          </w:tcPr>
          <w:p w14:paraId="02B2CAD8" w14:textId="5C5C7C5B" w:rsidR="00076D2D" w:rsidRDefault="00603ABB" w:rsidP="00076D2D">
            <w:pPr>
              <w:pStyle w:val="Default"/>
              <w:rPr>
                <w:sz w:val="22"/>
                <w:szCs w:val="22"/>
              </w:rPr>
            </w:pPr>
            <w:r>
              <w:rPr>
                <w:sz w:val="22"/>
                <w:szCs w:val="22"/>
              </w:rPr>
              <w:t>4</w:t>
            </w:r>
            <w:r w:rsidR="00076D2D">
              <w:rPr>
                <w:sz w:val="22"/>
                <w:szCs w:val="22"/>
              </w:rPr>
              <w:t xml:space="preserve">. MOF and NBG add at least one new tenor to the PD Pilot and publish the plan of moving towards full-fledged PD System. </w:t>
            </w:r>
          </w:p>
          <w:p w14:paraId="1989A83D" w14:textId="77777777" w:rsidR="00076D2D" w:rsidRDefault="00076D2D" w:rsidP="00076D2D">
            <w:pPr>
              <w:pStyle w:val="Default"/>
              <w:rPr>
                <w:sz w:val="22"/>
                <w:szCs w:val="22"/>
              </w:rPr>
            </w:pPr>
          </w:p>
          <w:p w14:paraId="201C7DB0" w14:textId="3473794D" w:rsidR="00076D2D" w:rsidRDefault="00603ABB" w:rsidP="00076D2D">
            <w:pPr>
              <w:pStyle w:val="Default"/>
              <w:rPr>
                <w:sz w:val="22"/>
                <w:szCs w:val="22"/>
              </w:rPr>
            </w:pPr>
            <w:r>
              <w:rPr>
                <w:sz w:val="22"/>
                <w:szCs w:val="22"/>
              </w:rPr>
              <w:t>5</w:t>
            </w:r>
            <w:r w:rsidR="00076D2D">
              <w:rPr>
                <w:sz w:val="22"/>
                <w:szCs w:val="22"/>
              </w:rPr>
              <w:t xml:space="preserve">. MOF mandates Primary dealers to disclose and make publicly available all pre-trade and post-trade figures for all securities included in the PD system. </w:t>
            </w:r>
          </w:p>
          <w:p w14:paraId="38AAA467" w14:textId="77777777" w:rsidR="00076D2D" w:rsidRDefault="00076D2D" w:rsidP="00076D2D">
            <w:pPr>
              <w:pStyle w:val="Default"/>
              <w:rPr>
                <w:sz w:val="22"/>
                <w:szCs w:val="22"/>
              </w:rPr>
            </w:pPr>
          </w:p>
          <w:p w14:paraId="000E8BC8" w14:textId="48628D9B" w:rsidR="00076D2D" w:rsidRDefault="00603ABB" w:rsidP="00076D2D">
            <w:pPr>
              <w:pStyle w:val="Default"/>
              <w:rPr>
                <w:sz w:val="22"/>
                <w:szCs w:val="22"/>
              </w:rPr>
            </w:pPr>
            <w:r>
              <w:rPr>
                <w:sz w:val="22"/>
                <w:szCs w:val="22"/>
              </w:rPr>
              <w:t>6</w:t>
            </w:r>
            <w:r w:rsidR="00076D2D">
              <w:rPr>
                <w:sz w:val="22"/>
                <w:szCs w:val="22"/>
              </w:rPr>
              <w:t xml:space="preserve">. MOF approves new Debt Management Strategy 2021–2023 which include an increase in the stock of domestic debt to at least 10% of GDP by October 2023 to deepen the domestic debt market for government securities. </w:t>
            </w:r>
          </w:p>
          <w:p w14:paraId="795C6003" w14:textId="77777777" w:rsidR="00076D2D" w:rsidRDefault="00076D2D" w:rsidP="00076D2D">
            <w:pPr>
              <w:pStyle w:val="Default"/>
              <w:rPr>
                <w:sz w:val="22"/>
                <w:szCs w:val="22"/>
              </w:rPr>
            </w:pPr>
          </w:p>
          <w:p w14:paraId="49151CAC" w14:textId="1A9CF3A1" w:rsidR="00076D2D" w:rsidRDefault="00603ABB" w:rsidP="00076D2D">
            <w:pPr>
              <w:pStyle w:val="Default"/>
              <w:rPr>
                <w:sz w:val="22"/>
                <w:szCs w:val="22"/>
              </w:rPr>
            </w:pPr>
            <w:r>
              <w:rPr>
                <w:sz w:val="22"/>
                <w:szCs w:val="22"/>
              </w:rPr>
              <w:t>7</w:t>
            </w:r>
            <w:r w:rsidR="00076D2D">
              <w:rPr>
                <w:sz w:val="22"/>
                <w:szCs w:val="22"/>
              </w:rPr>
              <w:t xml:space="preserve">. MOF adopts strategy to develop retail participation in Government bond market which may include a savings certificate style market issued electronically distributed by PO or Banks subject to deliberation with NBG. </w:t>
            </w:r>
          </w:p>
          <w:p w14:paraId="08BF49A7" w14:textId="77777777" w:rsidR="00076D2D" w:rsidRPr="00343DFC" w:rsidRDefault="00076D2D" w:rsidP="00076D2D">
            <w:pPr>
              <w:pStyle w:val="xmsonormal"/>
              <w:autoSpaceDE w:val="0"/>
              <w:autoSpaceDN w:val="0"/>
              <w:rPr>
                <w:rFonts w:ascii="Arial" w:hAnsi="Arial" w:cs="Arial"/>
              </w:rPr>
            </w:pPr>
          </w:p>
          <w:p w14:paraId="758741F7" w14:textId="0AF5FDAD" w:rsidR="00076D2D" w:rsidRPr="00343DFC" w:rsidRDefault="00603ABB" w:rsidP="00076D2D">
            <w:pPr>
              <w:pStyle w:val="xmsonormal"/>
              <w:autoSpaceDE w:val="0"/>
              <w:autoSpaceDN w:val="0"/>
              <w:rPr>
                <w:rFonts w:ascii="Arial" w:hAnsi="Arial" w:cs="Arial"/>
              </w:rPr>
            </w:pPr>
            <w:r>
              <w:rPr>
                <w:rFonts w:ascii="Arial" w:hAnsi="Arial" w:cs="Arial"/>
              </w:rPr>
              <w:t>10</w:t>
            </w:r>
            <w:r w:rsidR="00076D2D" w:rsidRPr="00343DFC">
              <w:rPr>
                <w:rFonts w:ascii="Arial" w:hAnsi="Arial" w:cs="Arial"/>
              </w:rPr>
              <w:t xml:space="preserve">. GoG in collaboration with NBG approve Capital Market Development Strategy to promote mobilization of domestic private financial resources available to government and minimize reliance on external financing. </w:t>
            </w:r>
          </w:p>
          <w:p w14:paraId="0ABD59FC" w14:textId="77777777" w:rsidR="00076D2D" w:rsidRPr="00343DFC" w:rsidRDefault="00076D2D" w:rsidP="009C2DBA">
            <w:pPr>
              <w:pStyle w:val="xmsonormal"/>
              <w:autoSpaceDE w:val="0"/>
              <w:autoSpaceDN w:val="0"/>
              <w:rPr>
                <w:rFonts w:ascii="Arial" w:hAnsi="Arial" w:cs="Arial"/>
              </w:rPr>
            </w:pPr>
          </w:p>
          <w:p w14:paraId="18FE06E3" w14:textId="2C8C2C4E" w:rsidR="002954DD" w:rsidRPr="00343DFC" w:rsidRDefault="002954DD" w:rsidP="002954DD">
            <w:pPr>
              <w:pStyle w:val="Default"/>
              <w:rPr>
                <w:sz w:val="22"/>
                <w:szCs w:val="22"/>
              </w:rPr>
            </w:pPr>
            <w:r w:rsidRPr="00343DFC">
              <w:rPr>
                <w:sz w:val="22"/>
                <w:szCs w:val="22"/>
              </w:rPr>
              <w:t>1</w:t>
            </w:r>
            <w:r w:rsidR="00603ABB">
              <w:rPr>
                <w:sz w:val="22"/>
                <w:szCs w:val="22"/>
              </w:rPr>
              <w:t>1</w:t>
            </w:r>
            <w:r w:rsidRPr="00343DFC">
              <w:rPr>
                <w:sz w:val="22"/>
                <w:szCs w:val="22"/>
              </w:rPr>
              <w:t xml:space="preserve">. GoG submits the law on Securitization to the Parliament to deepen capital markets by creating a new class of debt instruments and allowing access to new participants—corporates and others—to the market. </w:t>
            </w:r>
          </w:p>
          <w:p w14:paraId="4CAC208B" w14:textId="77777777" w:rsidR="002954DD" w:rsidRPr="00343DFC" w:rsidRDefault="002954DD" w:rsidP="002954DD">
            <w:pPr>
              <w:pStyle w:val="gmail-m-5635099746557049505tableparagraph"/>
              <w:spacing w:before="0" w:beforeAutospacing="0" w:after="0" w:afterAutospacing="0"/>
              <w:ind w:right="169"/>
              <w:rPr>
                <w:rFonts w:ascii="Arial" w:hAnsi="Arial" w:cs="Arial"/>
              </w:rPr>
            </w:pPr>
          </w:p>
          <w:p w14:paraId="306B6428" w14:textId="5E7C36B1" w:rsidR="002630D2" w:rsidRPr="002954DD" w:rsidRDefault="002954DD" w:rsidP="002954DD">
            <w:pPr>
              <w:pStyle w:val="gmail-m-5635099746557049505tableparagraph"/>
              <w:spacing w:before="0" w:beforeAutospacing="0" w:after="0" w:afterAutospacing="0"/>
              <w:ind w:right="169"/>
              <w:rPr>
                <w:rFonts w:ascii="Arial" w:hAnsi="Arial" w:cs="Arial"/>
              </w:rPr>
            </w:pPr>
            <w:r w:rsidRPr="00343DFC">
              <w:rPr>
                <w:rFonts w:ascii="Arial" w:hAnsi="Arial" w:cs="Arial"/>
              </w:rPr>
              <w:t>1</w:t>
            </w:r>
            <w:r w:rsidR="00603ABB">
              <w:rPr>
                <w:rFonts w:ascii="Arial" w:hAnsi="Arial" w:cs="Arial"/>
              </w:rPr>
              <w:t>2</w:t>
            </w:r>
            <w:r w:rsidRPr="00343DFC">
              <w:rPr>
                <w:rFonts w:ascii="Arial" w:hAnsi="Arial" w:cs="Arial"/>
              </w:rPr>
              <w:t>. GoG submits the law on Covered Bonds to deepen domestic capital markets by widening the range of investment instruments available to investors.</w:t>
            </w:r>
            <w:r>
              <w:t xml:space="preserve"> </w:t>
            </w:r>
          </w:p>
        </w:tc>
      </w:tr>
      <w:tr w:rsidR="00153F75" w14:paraId="2FE3475D" w14:textId="77777777" w:rsidTr="009C2DBA">
        <w:tc>
          <w:tcPr>
            <w:tcW w:w="0" w:type="auto"/>
            <w:tcBorders>
              <w:top w:val="nil"/>
            </w:tcBorders>
          </w:tcPr>
          <w:p w14:paraId="2631A9CC" w14:textId="77777777" w:rsidR="002630D2" w:rsidRPr="008F7BA7" w:rsidRDefault="002630D2" w:rsidP="009C2DBA">
            <w:pPr>
              <w:tabs>
                <w:tab w:val="left" w:pos="2493"/>
                <w:tab w:val="center" w:pos="6480"/>
              </w:tabs>
              <w:rPr>
                <w:rFonts w:cs="Arial"/>
                <w:sz w:val="20"/>
                <w:szCs w:val="20"/>
              </w:rPr>
            </w:pPr>
          </w:p>
        </w:tc>
        <w:tc>
          <w:tcPr>
            <w:tcW w:w="0" w:type="auto"/>
            <w:vMerge/>
          </w:tcPr>
          <w:p w14:paraId="5A4BC422" w14:textId="57A592E7" w:rsidR="002630D2" w:rsidRPr="008F7BA7" w:rsidRDefault="002630D2" w:rsidP="009C2DBA">
            <w:pPr>
              <w:tabs>
                <w:tab w:val="left" w:pos="2493"/>
                <w:tab w:val="center" w:pos="6480"/>
              </w:tabs>
              <w:rPr>
                <w:rFonts w:cs="Arial"/>
                <w:sz w:val="20"/>
                <w:szCs w:val="20"/>
              </w:rPr>
            </w:pPr>
          </w:p>
        </w:tc>
        <w:tc>
          <w:tcPr>
            <w:tcW w:w="0" w:type="auto"/>
            <w:vMerge/>
          </w:tcPr>
          <w:p w14:paraId="27B04211" w14:textId="469D9BE3" w:rsidR="002630D2" w:rsidRPr="008F7BA7" w:rsidRDefault="002630D2" w:rsidP="009C2DBA">
            <w:pPr>
              <w:tabs>
                <w:tab w:val="left" w:pos="2493"/>
                <w:tab w:val="center" w:pos="6480"/>
              </w:tabs>
              <w:rPr>
                <w:rFonts w:cs="Arial"/>
                <w:sz w:val="20"/>
                <w:szCs w:val="20"/>
              </w:rPr>
            </w:pPr>
          </w:p>
        </w:tc>
      </w:tr>
      <w:tr w:rsidR="00153F75" w14:paraId="12628591" w14:textId="77777777" w:rsidTr="00795549">
        <w:trPr>
          <w:trHeight w:val="980"/>
        </w:trPr>
        <w:tc>
          <w:tcPr>
            <w:tcW w:w="0" w:type="auto"/>
          </w:tcPr>
          <w:p w14:paraId="3D3595AC" w14:textId="253B2B28" w:rsidR="000D76A9" w:rsidRPr="00AD0852" w:rsidRDefault="000D76A9" w:rsidP="009C2DBA">
            <w:pPr>
              <w:tabs>
                <w:tab w:val="left" w:pos="2493"/>
                <w:tab w:val="center" w:pos="6480"/>
              </w:tabs>
              <w:jc w:val="left"/>
              <w:rPr>
                <w:rFonts w:cs="Arial"/>
              </w:rPr>
            </w:pPr>
            <w:r w:rsidRPr="00AD0852">
              <w:rPr>
                <w:rFonts w:cs="Arial"/>
              </w:rPr>
              <w:t xml:space="preserve">3. Adequacy and fiscal sustainability of social protection programs </w:t>
            </w:r>
            <w:r w:rsidR="002555F8" w:rsidRPr="00AD0852">
              <w:rPr>
                <w:rFonts w:cs="Arial"/>
              </w:rPr>
              <w:t>strengthened</w:t>
            </w:r>
            <w:r w:rsidR="00EF04B2" w:rsidRPr="00AD0852">
              <w:rPr>
                <w:rFonts w:cs="Arial"/>
              </w:rPr>
              <w:t>.</w:t>
            </w:r>
          </w:p>
        </w:tc>
        <w:tc>
          <w:tcPr>
            <w:tcW w:w="0" w:type="auto"/>
          </w:tcPr>
          <w:p w14:paraId="311574F4" w14:textId="0A8335FA" w:rsidR="00230E69" w:rsidRDefault="00103021" w:rsidP="00103021">
            <w:pPr>
              <w:pStyle w:val="gmail-m-5635099746557049505tableparagraph"/>
              <w:ind w:right="169"/>
              <w:rPr>
                <w:rFonts w:ascii="Arial" w:hAnsi="Arial" w:cs="Arial"/>
              </w:rPr>
            </w:pPr>
            <w:r>
              <w:rPr>
                <w:rFonts w:ascii="Arial" w:hAnsi="Arial" w:cs="Arial"/>
              </w:rPr>
              <w:t>8</w:t>
            </w:r>
            <w:r w:rsidR="00D476EE">
              <w:rPr>
                <w:rFonts w:ascii="Arial" w:hAnsi="Arial" w:cs="Arial"/>
              </w:rPr>
              <w:t xml:space="preserve">. </w:t>
            </w:r>
            <w:r w:rsidRPr="00103021">
              <w:rPr>
                <w:rFonts w:ascii="Arial" w:hAnsi="Arial" w:cs="Arial"/>
              </w:rPr>
              <w:t>Parliament approved revised budget in 2020 which includes an increase of at least GEL 30 in universal pension payout for pensioners aged 70 and above, 65% of whom are women, to mitigate the adverse impact of the COVID-19 crisis on old-age poverty.</w:t>
            </w:r>
            <w:r>
              <w:rPr>
                <w:rFonts w:ascii="Arial" w:hAnsi="Arial" w:cs="Arial"/>
              </w:rPr>
              <w:t xml:space="preserve"> </w:t>
            </w:r>
            <w:r w:rsidRPr="00204B01">
              <w:rPr>
                <w:rFonts w:ascii="Arial" w:hAnsi="Arial" w:cs="Arial"/>
                <w:b/>
                <w:bCs/>
              </w:rPr>
              <w:t>(Documents required: Budget Amendment)</w:t>
            </w:r>
          </w:p>
          <w:p w14:paraId="3D174432" w14:textId="2C3B5FF1" w:rsidR="000D76A9" w:rsidRPr="00AD0852" w:rsidRDefault="00564E74" w:rsidP="00564E74">
            <w:pPr>
              <w:pStyle w:val="gmail-m-5635099746557049505tableparagraph"/>
              <w:ind w:right="169"/>
              <w:rPr>
                <w:rFonts w:ascii="Arial" w:hAnsi="Arial" w:cs="Arial"/>
              </w:rPr>
            </w:pPr>
            <w:r>
              <w:rPr>
                <w:rFonts w:ascii="Arial" w:hAnsi="Arial" w:cs="Arial"/>
              </w:rPr>
              <w:t>9</w:t>
            </w:r>
            <w:r w:rsidR="00D476EE">
              <w:rPr>
                <w:rFonts w:ascii="Arial" w:hAnsi="Arial" w:cs="Arial"/>
              </w:rPr>
              <w:t xml:space="preserve">. </w:t>
            </w:r>
            <w:r w:rsidRPr="00564E74">
              <w:rPr>
                <w:rFonts w:ascii="Arial" w:hAnsi="Arial" w:cs="Arial"/>
              </w:rPr>
              <w:t>Parliament approved amendment to the Law of Georgia on State Pensions which introduces a rules-based mechanism for increases in payouts for universal pension beneficiaries, 70% of whom are women.</w:t>
            </w:r>
            <w:r>
              <w:rPr>
                <w:rFonts w:ascii="Arial" w:hAnsi="Arial" w:cs="Arial"/>
              </w:rPr>
              <w:t xml:space="preserve"> </w:t>
            </w:r>
            <w:r w:rsidRPr="00564E74">
              <w:rPr>
                <w:rFonts w:ascii="Arial" w:hAnsi="Arial" w:cs="Arial"/>
                <w:b/>
                <w:bCs/>
              </w:rPr>
              <w:t>(Documents required: Law on of Georgia on State Pension)</w:t>
            </w:r>
          </w:p>
          <w:p w14:paraId="55BEED48" w14:textId="612AD4C0" w:rsidR="003B50B8" w:rsidRPr="00AD0852" w:rsidRDefault="00D476EE" w:rsidP="00343D74">
            <w:pPr>
              <w:pStyle w:val="gmail-m-5635099746557049505tableparagraph"/>
              <w:ind w:right="169"/>
              <w:rPr>
                <w:rFonts w:ascii="Arial" w:hAnsi="Arial" w:cs="Arial"/>
              </w:rPr>
            </w:pPr>
            <w:r>
              <w:rPr>
                <w:rFonts w:ascii="Arial" w:hAnsi="Arial" w:cs="Arial"/>
              </w:rPr>
              <w:t>1</w:t>
            </w:r>
            <w:r w:rsidR="00343D74">
              <w:rPr>
                <w:rFonts w:ascii="Arial" w:hAnsi="Arial" w:cs="Arial"/>
              </w:rPr>
              <w:t>0</w:t>
            </w:r>
            <w:r>
              <w:rPr>
                <w:rFonts w:ascii="Arial" w:hAnsi="Arial" w:cs="Arial"/>
              </w:rPr>
              <w:t xml:space="preserve">. </w:t>
            </w:r>
            <w:r w:rsidR="00343D74" w:rsidRPr="00343D74">
              <w:rPr>
                <w:rFonts w:ascii="Arial" w:hAnsi="Arial" w:cs="Arial"/>
              </w:rPr>
              <w:t>Government of Georgia establishes and operationalizes an independent public Pension Agency for administration of the new supplementary contributory pension scheme (Pillar II pension scheme) where at least 50% of staff are women.</w:t>
            </w:r>
            <w:r w:rsidR="00343D74">
              <w:rPr>
                <w:rFonts w:ascii="Arial" w:hAnsi="Arial" w:cs="Arial"/>
              </w:rPr>
              <w:t xml:space="preserve"> </w:t>
            </w:r>
            <w:r w:rsidR="00343D74" w:rsidRPr="00343D74">
              <w:rPr>
                <w:rFonts w:ascii="Arial" w:hAnsi="Arial" w:cs="Arial"/>
                <w:b/>
                <w:bCs/>
              </w:rPr>
              <w:t>(Documents required: Law of Georgia on Pension Savings establishing creation of Pension Agency; Letter from PA identifying sex-disaggregated staff per department)</w:t>
            </w:r>
          </w:p>
          <w:p w14:paraId="0189AD8F" w14:textId="23B97E60" w:rsidR="000D76A9" w:rsidRPr="00AD0852" w:rsidRDefault="00D476EE" w:rsidP="004D7030">
            <w:pPr>
              <w:pStyle w:val="gmail-m-5635099746557049505tableparagraph"/>
              <w:ind w:right="169"/>
              <w:rPr>
                <w:rFonts w:ascii="Arial" w:hAnsi="Arial" w:cs="Arial"/>
              </w:rPr>
            </w:pPr>
            <w:r>
              <w:rPr>
                <w:rFonts w:ascii="Arial" w:hAnsi="Arial" w:cs="Arial"/>
              </w:rPr>
              <w:t>1</w:t>
            </w:r>
            <w:r w:rsidR="0036324B">
              <w:rPr>
                <w:rFonts w:ascii="Arial" w:hAnsi="Arial" w:cs="Arial"/>
              </w:rPr>
              <w:t>1</w:t>
            </w:r>
            <w:r>
              <w:rPr>
                <w:rFonts w:ascii="Arial" w:hAnsi="Arial" w:cs="Arial"/>
              </w:rPr>
              <w:t xml:space="preserve">. </w:t>
            </w:r>
            <w:r w:rsidR="00702F4E" w:rsidRPr="00702F4E">
              <w:rPr>
                <w:rFonts w:ascii="Arial" w:hAnsi="Arial" w:cs="Arial"/>
              </w:rPr>
              <w:t>Pension Agency ensured registration of 100% of formal employees and collected contributions from at least 80% of registered employers, as well as and associated contributions from Government and employees.</w:t>
            </w:r>
            <w:r w:rsidR="004D7030">
              <w:rPr>
                <w:rFonts w:ascii="Arial" w:hAnsi="Arial" w:cs="Arial"/>
              </w:rPr>
              <w:t xml:space="preserve"> </w:t>
            </w:r>
            <w:r w:rsidR="004D7030" w:rsidRPr="004D7030">
              <w:rPr>
                <w:rFonts w:ascii="Arial" w:hAnsi="Arial" w:cs="Arial"/>
                <w:b/>
                <w:bCs/>
              </w:rPr>
              <w:t>(Documents required: Pension Agency official report)</w:t>
            </w:r>
          </w:p>
          <w:p w14:paraId="4BBBCDFC" w14:textId="7AFC701F" w:rsidR="000D76A9" w:rsidRPr="00AD0852" w:rsidRDefault="00D476EE" w:rsidP="009C2DBA">
            <w:pPr>
              <w:pStyle w:val="gmail-m-5635099746557049505tableparagraph"/>
              <w:spacing w:before="0" w:beforeAutospacing="0" w:after="0" w:afterAutospacing="0"/>
              <w:ind w:right="169"/>
              <w:rPr>
                <w:rFonts w:ascii="Arial" w:hAnsi="Arial" w:cs="Arial"/>
              </w:rPr>
            </w:pPr>
            <w:r>
              <w:rPr>
                <w:rFonts w:ascii="Arial" w:hAnsi="Arial" w:cs="Arial"/>
              </w:rPr>
              <w:t>1</w:t>
            </w:r>
            <w:r w:rsidR="001C5007">
              <w:rPr>
                <w:rFonts w:ascii="Arial" w:hAnsi="Arial" w:cs="Arial"/>
              </w:rPr>
              <w:t>2</w:t>
            </w:r>
            <w:r>
              <w:rPr>
                <w:rFonts w:ascii="Arial" w:hAnsi="Arial" w:cs="Arial"/>
              </w:rPr>
              <w:t xml:space="preserve">. </w:t>
            </w:r>
            <w:r w:rsidR="001C5007" w:rsidRPr="001C5007">
              <w:rPr>
                <w:rFonts w:ascii="Arial" w:hAnsi="Arial" w:cs="Arial"/>
              </w:rPr>
              <w:t xml:space="preserve">Pension Agency adopted an interim Cash and Cash Equivalent Investment Policy allowing investments to be managed without any undue risk and ensuring transfer of all contribution payments into individual interest-bearing accounts. </w:t>
            </w:r>
            <w:r w:rsidR="001C5007" w:rsidRPr="001C5007">
              <w:rPr>
                <w:rFonts w:ascii="Arial" w:hAnsi="Arial" w:cs="Arial"/>
                <w:b/>
                <w:bCs/>
              </w:rPr>
              <w:t>(Documents required: Pension Agency Cash and Cash Equivalent Investment Policy)</w:t>
            </w:r>
          </w:p>
        </w:tc>
        <w:tc>
          <w:tcPr>
            <w:tcW w:w="0" w:type="auto"/>
          </w:tcPr>
          <w:p w14:paraId="20E2EA90" w14:textId="7F957ABE" w:rsidR="00343DFC" w:rsidRPr="00603ABB" w:rsidRDefault="0082141C" w:rsidP="00343DFC">
            <w:pPr>
              <w:pStyle w:val="xmsonormal"/>
              <w:autoSpaceDE w:val="0"/>
              <w:autoSpaceDN w:val="0"/>
              <w:rPr>
                <w:rFonts w:ascii="Arial" w:hAnsi="Arial" w:cs="Arial"/>
                <w:b/>
              </w:rPr>
            </w:pPr>
            <w:r w:rsidRPr="00603ABB">
              <w:rPr>
                <w:rFonts w:ascii="Arial" w:hAnsi="Arial" w:cs="Arial"/>
                <w:b/>
              </w:rPr>
              <w:t xml:space="preserve"> </w:t>
            </w:r>
            <w:r w:rsidR="00343DFC" w:rsidRPr="00603ABB">
              <w:rPr>
                <w:rFonts w:ascii="Arial" w:hAnsi="Arial" w:cs="Arial"/>
              </w:rPr>
              <w:t>1</w:t>
            </w:r>
            <w:r w:rsidR="00603ABB" w:rsidRPr="00603ABB">
              <w:rPr>
                <w:rFonts w:ascii="Arial" w:hAnsi="Arial" w:cs="Arial"/>
              </w:rPr>
              <w:t>3</w:t>
            </w:r>
            <w:r w:rsidR="00343DFC" w:rsidRPr="00603ABB">
              <w:rPr>
                <w:rFonts w:ascii="Arial" w:hAnsi="Arial" w:cs="Arial"/>
              </w:rPr>
              <w:t xml:space="preserve">. NBG and Pension Agency approve long term investment policy for Pension Savings Scheme to guide long term investment strategy of contributions. </w:t>
            </w:r>
          </w:p>
          <w:p w14:paraId="0B2A9DE0" w14:textId="77777777" w:rsidR="00343DFC" w:rsidRPr="00603ABB" w:rsidRDefault="00343DFC" w:rsidP="00343DFC">
            <w:pPr>
              <w:pStyle w:val="Default"/>
              <w:rPr>
                <w:sz w:val="22"/>
                <w:szCs w:val="22"/>
              </w:rPr>
            </w:pPr>
          </w:p>
          <w:p w14:paraId="3C4D5434" w14:textId="2F153B9C" w:rsidR="00343DFC" w:rsidRPr="00603ABB" w:rsidRDefault="00343DFC" w:rsidP="00343DFC">
            <w:pPr>
              <w:pStyle w:val="Default"/>
              <w:rPr>
                <w:sz w:val="22"/>
                <w:szCs w:val="22"/>
              </w:rPr>
            </w:pPr>
            <w:r w:rsidRPr="00603ABB">
              <w:rPr>
                <w:sz w:val="22"/>
                <w:szCs w:val="22"/>
              </w:rPr>
              <w:t>1</w:t>
            </w:r>
            <w:r w:rsidR="00603ABB" w:rsidRPr="00603ABB">
              <w:rPr>
                <w:sz w:val="22"/>
                <w:szCs w:val="22"/>
              </w:rPr>
              <w:t>4</w:t>
            </w:r>
            <w:r w:rsidRPr="00603ABB">
              <w:rPr>
                <w:sz w:val="22"/>
                <w:szCs w:val="22"/>
              </w:rPr>
              <w:t xml:space="preserve">. Pension Agency, in coordination with MOF, approve enforcement mechanism for pension scheme contributions to ensure increased compliance by all formal employers with the Law of Georgia on Pension Savings. </w:t>
            </w:r>
          </w:p>
          <w:p w14:paraId="34F706F0" w14:textId="77777777" w:rsidR="00343DFC" w:rsidRPr="00603ABB" w:rsidRDefault="00343DFC" w:rsidP="00343DFC">
            <w:pPr>
              <w:pStyle w:val="xmsonormal"/>
              <w:autoSpaceDE w:val="0"/>
              <w:autoSpaceDN w:val="0"/>
              <w:rPr>
                <w:rFonts w:ascii="Arial" w:hAnsi="Arial" w:cs="Arial"/>
              </w:rPr>
            </w:pPr>
          </w:p>
          <w:p w14:paraId="7EDA28F7" w14:textId="0133F75C" w:rsidR="000D76A9" w:rsidRPr="00603ABB" w:rsidRDefault="00343DFC" w:rsidP="00343DFC">
            <w:pPr>
              <w:pStyle w:val="xmsonormal"/>
              <w:autoSpaceDE w:val="0"/>
              <w:autoSpaceDN w:val="0"/>
              <w:rPr>
                <w:rFonts w:ascii="Arial" w:hAnsi="Arial" w:cs="Arial"/>
                <w:b/>
              </w:rPr>
            </w:pPr>
            <w:r w:rsidRPr="00603ABB">
              <w:rPr>
                <w:rFonts w:ascii="Arial" w:hAnsi="Arial" w:cs="Arial"/>
              </w:rPr>
              <w:t>1</w:t>
            </w:r>
            <w:r w:rsidR="00603ABB" w:rsidRPr="00603ABB">
              <w:rPr>
                <w:rFonts w:ascii="Arial" w:hAnsi="Arial" w:cs="Arial"/>
              </w:rPr>
              <w:t>5</w:t>
            </w:r>
            <w:r w:rsidRPr="00603ABB">
              <w:rPr>
                <w:rFonts w:ascii="Arial" w:hAnsi="Arial" w:cs="Arial"/>
              </w:rPr>
              <w:t xml:space="preserve">. GoG submits Law on Third Pillar Pensions to Parliament to enable Georgian workers to accumulate additional voluntary savings, when possible, and generate a third source of old-age income. </w:t>
            </w:r>
          </w:p>
        </w:tc>
      </w:tr>
    </w:tbl>
    <w:p w14:paraId="51BD256C" w14:textId="0BB1EDD4" w:rsidR="005661B4" w:rsidRDefault="00A17D3D" w:rsidP="00950EA0">
      <w:pPr>
        <w:tabs>
          <w:tab w:val="left" w:pos="2493"/>
          <w:tab w:val="center" w:pos="6480"/>
        </w:tabs>
        <w:rPr>
          <w:color w:val="FF0000"/>
        </w:rPr>
      </w:pPr>
      <w:r w:rsidRPr="008F7BA7">
        <w:rPr>
          <w:rFonts w:cs="Arial"/>
          <w:sz w:val="18"/>
          <w:szCs w:val="18"/>
        </w:rPr>
        <w:t>COVID-19 = coronavirus disease</w:t>
      </w:r>
      <w:r w:rsidR="008F7BA7" w:rsidRPr="008F7BA7">
        <w:rPr>
          <w:rFonts w:cs="Arial"/>
          <w:sz w:val="18"/>
          <w:szCs w:val="18"/>
        </w:rPr>
        <w:t xml:space="preserve">, </w:t>
      </w:r>
      <w:r w:rsidR="0077339F" w:rsidRPr="008F7BA7">
        <w:rPr>
          <w:rFonts w:cs="Arial"/>
          <w:sz w:val="18"/>
          <w:szCs w:val="18"/>
        </w:rPr>
        <w:t xml:space="preserve">GDP = gross domestic product, </w:t>
      </w:r>
      <w:r w:rsidR="00452A47" w:rsidRPr="008F7BA7">
        <w:rPr>
          <w:rFonts w:cs="Arial"/>
          <w:sz w:val="18"/>
          <w:szCs w:val="18"/>
        </w:rPr>
        <w:t xml:space="preserve">GOG = Government of Georgia, </w:t>
      </w:r>
      <w:r w:rsidR="00DE207D" w:rsidRPr="008F7BA7">
        <w:rPr>
          <w:rFonts w:cs="Arial"/>
          <w:sz w:val="18"/>
          <w:szCs w:val="18"/>
        </w:rPr>
        <w:t xml:space="preserve">IPSAS = International Public Sector Accounting Standards, </w:t>
      </w:r>
      <w:r w:rsidR="00133577" w:rsidRPr="008F7BA7">
        <w:rPr>
          <w:rFonts w:cs="Arial"/>
          <w:sz w:val="18"/>
          <w:szCs w:val="18"/>
        </w:rPr>
        <w:t xml:space="preserve">MEL = </w:t>
      </w:r>
      <w:r w:rsidR="000D76A9" w:rsidRPr="008F7BA7">
        <w:rPr>
          <w:rFonts w:cs="Arial"/>
          <w:sz w:val="18"/>
          <w:szCs w:val="18"/>
        </w:rPr>
        <w:t xml:space="preserve">Monitoring, Evaluation and Learning, </w:t>
      </w:r>
      <w:r w:rsidR="00E129B6" w:rsidRPr="008F7BA7">
        <w:rPr>
          <w:rFonts w:cs="Arial"/>
          <w:sz w:val="18"/>
          <w:szCs w:val="18"/>
        </w:rPr>
        <w:t>MOESD = Ministry of Economy and Sustainable Development, M</w:t>
      </w:r>
      <w:r w:rsidR="00133577" w:rsidRPr="008F7BA7">
        <w:rPr>
          <w:rFonts w:cs="Arial"/>
          <w:sz w:val="18"/>
          <w:szCs w:val="18"/>
        </w:rPr>
        <w:t>OF = Ministry of Finance,</w:t>
      </w:r>
      <w:r w:rsidR="000D76A9" w:rsidRPr="008F7BA7">
        <w:rPr>
          <w:rFonts w:cs="Arial"/>
          <w:sz w:val="18"/>
          <w:szCs w:val="18"/>
        </w:rPr>
        <w:t xml:space="preserve"> NBG = National Bank of Georgia, OECD = Organisation for Economic Co-operation and Development, PPP = public-private partnerships, SOE = state-owned enterprises, </w:t>
      </w:r>
      <w:r w:rsidR="00DE207D" w:rsidRPr="008F7BA7">
        <w:rPr>
          <w:rFonts w:cs="Arial"/>
          <w:sz w:val="18"/>
          <w:szCs w:val="18"/>
        </w:rPr>
        <w:t>VFM = value-for-money</w:t>
      </w:r>
    </w:p>
    <w:sectPr w:rsidR="005661B4" w:rsidSect="00AC2EB0">
      <w:headerReference w:type="even" r:id="rId43"/>
      <w:headerReference w:type="default" r:id="rId44"/>
      <w:footnotePr>
        <w:numRestart w:val="eachSect"/>
      </w:footnotePr>
      <w:endnotePr>
        <w:numRestart w:val="eachSect"/>
      </w:endnotePr>
      <w:pgSz w:w="15840" w:h="12240" w:orient="landscape" w:code="1"/>
      <w:pgMar w:top="1440" w:right="1296" w:bottom="1440" w:left="1296"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852985" w14:textId="77777777" w:rsidR="00120923" w:rsidRDefault="00120923">
      <w:r>
        <w:separator/>
      </w:r>
    </w:p>
    <w:p w14:paraId="0496BD7E" w14:textId="77777777" w:rsidR="00120923" w:rsidRDefault="00120923"/>
  </w:endnote>
  <w:endnote w:type="continuationSeparator" w:id="0">
    <w:p w14:paraId="0ECA1552" w14:textId="77777777" w:rsidR="00120923" w:rsidRDefault="00120923">
      <w:r>
        <w:continuationSeparator/>
      </w:r>
    </w:p>
    <w:p w14:paraId="79A09379" w14:textId="77777777" w:rsidR="00120923" w:rsidRDefault="00120923"/>
  </w:endnote>
  <w:endnote w:type="continuationNotice" w:id="1">
    <w:p w14:paraId="4AE97429" w14:textId="77777777" w:rsidR="00120923" w:rsidRDefault="001209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Shell Dlg">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CBCDD" w14:textId="77777777" w:rsidR="00A60AB3" w:rsidRDefault="00A60AB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C5FBD" w14:textId="77777777" w:rsidR="00B01066" w:rsidRDefault="00B01066">
    <w:pPr>
      <w:pStyle w:val="Footer"/>
    </w:pPr>
  </w:p>
  <w:p w14:paraId="7271A036" w14:textId="77777777" w:rsidR="00B01066" w:rsidRDefault="00B01066">
    <w:pPr>
      <w:pStyle w:val="Footer"/>
    </w:pPr>
  </w:p>
  <w:p w14:paraId="0C1C2D8F" w14:textId="77777777" w:rsidR="00B01066" w:rsidRDefault="00B01066">
    <w:pPr>
      <w:pStyle w:val="Footer"/>
    </w:pPr>
  </w:p>
  <w:p w14:paraId="300C76D4" w14:textId="77777777" w:rsidR="00B01066" w:rsidRDefault="00B01066">
    <w:pPr>
      <w:pStyle w:val="Footer"/>
    </w:pPr>
  </w:p>
  <w:p w14:paraId="69377F7A" w14:textId="77777777" w:rsidR="00B01066" w:rsidRDefault="00B01066">
    <w:pPr>
      <w:pStyle w:val="Footer"/>
    </w:pPr>
  </w:p>
  <w:p w14:paraId="11224AB5" w14:textId="77777777" w:rsidR="00B01066" w:rsidRDefault="00B01066">
    <w:pPr>
      <w:pStyle w:val="Footer"/>
    </w:pPr>
    <w:r>
      <w:rPr>
        <w:noProof/>
      </w:rPr>
      <w:drawing>
        <wp:anchor distT="0" distB="0" distL="114300" distR="114300" simplePos="0" relativeHeight="251658243" behindDoc="1" locked="0" layoutInCell="1" allowOverlap="1" wp14:anchorId="2896791E" wp14:editId="2FB12B92">
          <wp:simplePos x="0" y="0"/>
          <wp:positionH relativeFrom="column">
            <wp:posOffset>-6350</wp:posOffset>
          </wp:positionH>
          <wp:positionV relativeFrom="paragraph">
            <wp:posOffset>-453390</wp:posOffset>
          </wp:positionV>
          <wp:extent cx="2387600" cy="254000"/>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2387600" cy="254000"/>
                  </a:xfrm>
                  <a:prstGeom prst="rect">
                    <a:avLst/>
                  </a:prstGeom>
                  <a:noFill/>
                </pic:spPr>
              </pic:pic>
            </a:graphicData>
          </a:graphic>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3AFB1" w14:textId="77777777" w:rsidR="00A60AB3" w:rsidRDefault="00A60AB3">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B4D08" w14:textId="5803D84B" w:rsidR="00B01066" w:rsidRDefault="00C4695A" w:rsidP="00C4695A">
    <w:pPr>
      <w:pStyle w:val="Footer"/>
      <w:tabs>
        <w:tab w:val="left" w:pos="6650"/>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A8DA02" w14:textId="77777777" w:rsidR="00120923" w:rsidRDefault="00120923">
      <w:r>
        <w:separator/>
      </w:r>
    </w:p>
  </w:footnote>
  <w:footnote w:type="continuationSeparator" w:id="0">
    <w:p w14:paraId="079155AE" w14:textId="77777777" w:rsidR="00120923" w:rsidRDefault="00120923">
      <w:r>
        <w:continuationSeparator/>
      </w:r>
    </w:p>
  </w:footnote>
  <w:footnote w:type="continuationNotice" w:id="1">
    <w:p w14:paraId="63B14342" w14:textId="77777777" w:rsidR="00120923" w:rsidRDefault="00120923"/>
  </w:footnote>
  <w:footnote w:id="2">
    <w:p w14:paraId="2BFB4E4F" w14:textId="4A0D0DB5" w:rsidR="00593251" w:rsidRPr="005D79CF" w:rsidRDefault="00593251" w:rsidP="00DF69C3">
      <w:pPr>
        <w:pStyle w:val="FootnoteText"/>
        <w:ind w:left="180" w:hanging="180"/>
        <w:rPr>
          <w:rFonts w:cs="Arial"/>
          <w:color w:val="000000" w:themeColor="text1"/>
          <w:szCs w:val="18"/>
        </w:rPr>
      </w:pPr>
      <w:r w:rsidRPr="005D79CF">
        <w:rPr>
          <w:rStyle w:val="FootnoteReference"/>
          <w:rFonts w:cs="Arial"/>
          <w:color w:val="000000" w:themeColor="text1"/>
          <w:szCs w:val="18"/>
        </w:rPr>
        <w:footnoteRef/>
      </w:r>
      <w:r w:rsidR="00DF69C3">
        <w:rPr>
          <w:rFonts w:cs="Arial"/>
          <w:color w:val="000000" w:themeColor="text1"/>
          <w:szCs w:val="18"/>
        </w:rPr>
        <w:tab/>
      </w:r>
      <w:r w:rsidRPr="005D79CF">
        <w:rPr>
          <w:rFonts w:cs="Arial"/>
          <w:color w:val="000000" w:themeColor="text1"/>
          <w:szCs w:val="18"/>
        </w:rPr>
        <w:t>A</w:t>
      </w:r>
      <w:r>
        <w:rPr>
          <w:rFonts w:cs="Arial"/>
          <w:color w:val="000000" w:themeColor="text1"/>
          <w:szCs w:val="18"/>
        </w:rPr>
        <w:t xml:space="preserve">sian </w:t>
      </w:r>
      <w:r w:rsidRPr="005D79CF">
        <w:rPr>
          <w:rFonts w:cs="Arial"/>
          <w:color w:val="000000" w:themeColor="text1"/>
          <w:szCs w:val="18"/>
        </w:rPr>
        <w:t>D</w:t>
      </w:r>
      <w:r>
        <w:rPr>
          <w:rFonts w:cs="Arial"/>
          <w:color w:val="000000" w:themeColor="text1"/>
          <w:szCs w:val="18"/>
        </w:rPr>
        <w:t>evelopment Bank (ADB)</w:t>
      </w:r>
      <w:r w:rsidRPr="005D79CF">
        <w:rPr>
          <w:rFonts w:cs="Arial"/>
          <w:color w:val="000000" w:themeColor="text1"/>
          <w:szCs w:val="18"/>
        </w:rPr>
        <w:t>. 2020.</w:t>
      </w:r>
      <w:r w:rsidRPr="00740A4F">
        <w:rPr>
          <w:szCs w:val="18"/>
        </w:rPr>
        <w:t xml:space="preserve"> </w:t>
      </w:r>
      <w:hyperlink r:id="rId1" w:history="1">
        <w:r w:rsidRPr="008C5A54">
          <w:rPr>
            <w:rStyle w:val="Hyperlink"/>
            <w:rFonts w:cs="Arial"/>
            <w:i/>
            <w:iCs/>
            <w:szCs w:val="18"/>
          </w:rPr>
          <w:t>ADB’s Comprehensive Response to the COVID-19 Pandemic</w:t>
        </w:r>
      </w:hyperlink>
      <w:r w:rsidRPr="005D79CF">
        <w:rPr>
          <w:rFonts w:cs="Arial"/>
          <w:color w:val="000000" w:themeColor="text1"/>
          <w:szCs w:val="18"/>
        </w:rPr>
        <w:t>. Manila</w:t>
      </w:r>
      <w:r>
        <w:rPr>
          <w:rFonts w:cs="Arial"/>
          <w:color w:val="000000" w:themeColor="text1"/>
          <w:szCs w:val="18"/>
        </w:rPr>
        <w:t>.</w:t>
      </w:r>
      <w:r w:rsidRPr="005D79CF">
        <w:rPr>
          <w:rFonts w:cs="Arial"/>
          <w:color w:val="000000" w:themeColor="text1"/>
          <w:szCs w:val="18"/>
        </w:rPr>
        <w:t xml:space="preserve">  </w:t>
      </w:r>
    </w:p>
  </w:footnote>
  <w:footnote w:id="3">
    <w:p w14:paraId="4B5B92FF" w14:textId="727E0F33" w:rsidR="0082038D" w:rsidRDefault="0082038D" w:rsidP="00FD06E7">
      <w:pPr>
        <w:pStyle w:val="FootnoteText"/>
        <w:ind w:left="180" w:hanging="180"/>
      </w:pPr>
      <w:r>
        <w:rPr>
          <w:rStyle w:val="FootnoteReference"/>
        </w:rPr>
        <w:footnoteRef/>
      </w:r>
      <w:r>
        <w:t xml:space="preserve"> </w:t>
      </w:r>
      <w:r w:rsidR="00DF69C3">
        <w:tab/>
      </w:r>
      <w:r w:rsidR="005109D0">
        <w:t xml:space="preserve">A comprehensive package of support </w:t>
      </w:r>
      <w:r w:rsidR="005109D0" w:rsidRPr="005109D0">
        <w:t>was put together in response to the Government of Georgia’s official request for assistance by ADB submitted on 26 March 2020.</w:t>
      </w:r>
    </w:p>
  </w:footnote>
  <w:footnote w:id="4">
    <w:p w14:paraId="1A22D95D" w14:textId="1C3468D7" w:rsidR="00F37C76" w:rsidRDefault="00F37C76" w:rsidP="00FD06E7">
      <w:pPr>
        <w:pStyle w:val="FootnoteText"/>
        <w:ind w:left="180" w:hanging="180"/>
      </w:pPr>
      <w:r>
        <w:rPr>
          <w:rStyle w:val="FootnoteReference"/>
        </w:rPr>
        <w:footnoteRef/>
      </w:r>
      <w:r w:rsidR="00A134E9">
        <w:tab/>
      </w:r>
      <w:r w:rsidR="00F90C23">
        <w:t xml:space="preserve">Government of Georgia. </w:t>
      </w:r>
      <w:hyperlink r:id="rId2" w:history="1">
        <w:r w:rsidR="00F90C23" w:rsidRPr="00F90C23">
          <w:rPr>
            <w:rStyle w:val="Hyperlink"/>
          </w:rPr>
          <w:t>StopCov Prevention of Coronavirus in Georgia</w:t>
        </w:r>
      </w:hyperlink>
      <w:r w:rsidR="00F90C23">
        <w:t>.</w:t>
      </w:r>
      <w:r w:rsidR="00AB3D82">
        <w:t xml:space="preserve"> </w:t>
      </w:r>
      <w:r>
        <w:t>(accessed 23 August 2020).</w:t>
      </w:r>
    </w:p>
  </w:footnote>
  <w:footnote w:id="5">
    <w:p w14:paraId="5ADD9564" w14:textId="0A4C6659" w:rsidR="000E5933" w:rsidRPr="0083789D" w:rsidRDefault="0014673B" w:rsidP="00FD06E7">
      <w:pPr>
        <w:pStyle w:val="FootnoteText"/>
        <w:ind w:left="180" w:hanging="180"/>
        <w:rPr>
          <w:szCs w:val="18"/>
        </w:rPr>
      </w:pPr>
      <w:r w:rsidRPr="0083789D">
        <w:rPr>
          <w:rStyle w:val="FootnoteReference"/>
          <w:szCs w:val="18"/>
        </w:rPr>
        <w:footnoteRef/>
      </w:r>
      <w:r w:rsidR="00DF69C3" w:rsidRPr="0083789D">
        <w:rPr>
          <w:szCs w:val="18"/>
        </w:rPr>
        <w:tab/>
      </w:r>
      <w:r w:rsidR="00543041" w:rsidRPr="0083789D">
        <w:rPr>
          <w:szCs w:val="18"/>
        </w:rPr>
        <w:t>Government of Georgia.</w:t>
      </w:r>
      <w:r w:rsidR="00855951">
        <w:rPr>
          <w:szCs w:val="18"/>
        </w:rPr>
        <w:t xml:space="preserve"> </w:t>
      </w:r>
      <w:r w:rsidR="00543041" w:rsidRPr="0083789D">
        <w:rPr>
          <w:szCs w:val="18"/>
        </w:rPr>
        <w:t>2020.</w:t>
      </w:r>
      <w:r w:rsidR="00855951">
        <w:rPr>
          <w:szCs w:val="18"/>
        </w:rPr>
        <w:t xml:space="preserve"> </w:t>
      </w:r>
      <w:hyperlink r:id="rId3" w:history="1">
        <w:r w:rsidR="00543041" w:rsidRPr="0083789D">
          <w:rPr>
            <w:rStyle w:val="Hyperlink"/>
            <w:i/>
            <w:iCs/>
            <w:szCs w:val="18"/>
          </w:rPr>
          <w:t xml:space="preserve">Measures Implemented by </w:t>
        </w:r>
        <w:r w:rsidR="00BF504B">
          <w:rPr>
            <w:rStyle w:val="Hyperlink"/>
            <w:i/>
            <w:iCs/>
            <w:szCs w:val="18"/>
          </w:rPr>
          <w:t xml:space="preserve">Gerogia </w:t>
        </w:r>
        <w:r w:rsidR="00543041" w:rsidRPr="0083789D">
          <w:rPr>
            <w:rStyle w:val="Hyperlink"/>
            <w:i/>
            <w:iCs/>
            <w:szCs w:val="18"/>
          </w:rPr>
          <w:t>Against COVID-19:</w:t>
        </w:r>
        <w:r w:rsidR="00BF504B">
          <w:rPr>
            <w:rStyle w:val="Hyperlink"/>
            <w:i/>
            <w:iCs/>
            <w:szCs w:val="18"/>
          </w:rPr>
          <w:t xml:space="preserve"> </w:t>
        </w:r>
        <w:r w:rsidR="00543041" w:rsidRPr="0083789D">
          <w:rPr>
            <w:rStyle w:val="Hyperlink"/>
            <w:i/>
            <w:iCs/>
            <w:szCs w:val="18"/>
          </w:rPr>
          <w:t>Report</w:t>
        </w:r>
      </w:hyperlink>
      <w:r w:rsidR="00543041" w:rsidRPr="0083789D">
        <w:rPr>
          <w:szCs w:val="18"/>
        </w:rPr>
        <w:t xml:space="preserve">. </w:t>
      </w:r>
      <w:r w:rsidR="000E5933" w:rsidRPr="0083789D">
        <w:rPr>
          <w:szCs w:val="18"/>
        </w:rPr>
        <w:t>Tbilisi</w:t>
      </w:r>
      <w:r w:rsidR="002B12D0" w:rsidRPr="0083789D">
        <w:rPr>
          <w:szCs w:val="18"/>
        </w:rPr>
        <w:t>.</w:t>
      </w:r>
    </w:p>
  </w:footnote>
  <w:footnote w:id="6">
    <w:p w14:paraId="166B07A7" w14:textId="733AFF47" w:rsidR="0070569F" w:rsidRDefault="0070569F">
      <w:pPr>
        <w:pStyle w:val="FootnoteText"/>
      </w:pPr>
      <w:r>
        <w:rPr>
          <w:rStyle w:val="FootnoteReference"/>
        </w:rPr>
        <w:footnoteRef/>
      </w:r>
      <w:r>
        <w:t xml:space="preserve"> </w:t>
      </w:r>
      <w:r w:rsidR="00A84A3D">
        <w:t xml:space="preserve">ADB. 2020. </w:t>
      </w:r>
      <w:hyperlink r:id="rId4" w:history="1">
        <w:r w:rsidR="00A84A3D" w:rsidRPr="00DC0BF6">
          <w:rPr>
            <w:rStyle w:val="Hyperlink"/>
          </w:rPr>
          <w:t>Asian Development Outlook</w:t>
        </w:r>
        <w:r w:rsidR="00DC0BF6" w:rsidRPr="00DC0BF6">
          <w:rPr>
            <w:rStyle w:val="Hyperlink"/>
          </w:rPr>
          <w:t xml:space="preserve"> Update</w:t>
        </w:r>
        <w:r w:rsidR="00A84A3D" w:rsidRPr="00DC0BF6">
          <w:rPr>
            <w:rStyle w:val="Hyperlink"/>
          </w:rPr>
          <w:t>:</w:t>
        </w:r>
        <w:r w:rsidR="00DC0BF6" w:rsidRPr="00DC0BF6">
          <w:rPr>
            <w:rStyle w:val="Hyperlink"/>
          </w:rPr>
          <w:t xml:space="preserve"> Wellness in Worrying Times.</w:t>
        </w:r>
      </w:hyperlink>
      <w:r w:rsidR="00DC0BF6">
        <w:t xml:space="preserve"> Manila</w:t>
      </w:r>
      <w:r w:rsidR="00A84A3D">
        <w:t xml:space="preserve"> </w:t>
      </w:r>
    </w:p>
  </w:footnote>
  <w:footnote w:id="7">
    <w:p w14:paraId="7A31DAE2" w14:textId="77777777" w:rsidR="0070569F" w:rsidRPr="0083789D" w:rsidRDefault="0070569F" w:rsidP="0070569F">
      <w:pPr>
        <w:pStyle w:val="FootnoteText"/>
        <w:rPr>
          <w:szCs w:val="18"/>
        </w:rPr>
      </w:pPr>
      <w:r w:rsidRPr="0083789D">
        <w:rPr>
          <w:rStyle w:val="FootnoteReference"/>
          <w:szCs w:val="18"/>
        </w:rPr>
        <w:footnoteRef/>
      </w:r>
      <w:r w:rsidRPr="0083789D">
        <w:rPr>
          <w:szCs w:val="18"/>
        </w:rPr>
        <w:tab/>
        <w:t>NBG. 2020. Monetary Policy Report: August 2020. Tbilisi.</w:t>
      </w:r>
    </w:p>
  </w:footnote>
  <w:footnote w:id="8">
    <w:p w14:paraId="3551C29D" w14:textId="4F60A904" w:rsidR="00E95731" w:rsidRPr="0083789D" w:rsidRDefault="00E95731">
      <w:pPr>
        <w:pStyle w:val="FootnoteText"/>
        <w:rPr>
          <w:szCs w:val="18"/>
        </w:rPr>
      </w:pPr>
      <w:r w:rsidRPr="0083789D">
        <w:rPr>
          <w:rStyle w:val="FootnoteReference"/>
          <w:szCs w:val="18"/>
        </w:rPr>
        <w:footnoteRef/>
      </w:r>
      <w:r w:rsidR="00A134E9" w:rsidRPr="0083789D">
        <w:rPr>
          <w:szCs w:val="18"/>
        </w:rPr>
        <w:tab/>
      </w:r>
      <w:r w:rsidR="00B3044B" w:rsidRPr="0083789D">
        <w:rPr>
          <w:szCs w:val="18"/>
        </w:rPr>
        <w:t>NBG</w:t>
      </w:r>
      <w:r w:rsidRPr="0083789D">
        <w:rPr>
          <w:szCs w:val="18"/>
        </w:rPr>
        <w:t xml:space="preserve">. 2020. </w:t>
      </w:r>
      <w:hyperlink r:id="rId5" w:history="1">
        <w:r w:rsidRPr="0083789D">
          <w:rPr>
            <w:rStyle w:val="Hyperlink"/>
            <w:szCs w:val="18"/>
          </w:rPr>
          <w:t>Monthly Review: July</w:t>
        </w:r>
      </w:hyperlink>
      <w:r w:rsidRPr="0083789D">
        <w:rPr>
          <w:szCs w:val="18"/>
        </w:rPr>
        <w:t>. Tbilisi.</w:t>
      </w:r>
    </w:p>
  </w:footnote>
  <w:footnote w:id="9">
    <w:p w14:paraId="5EAE60DB" w14:textId="656E553D" w:rsidR="004B11B3" w:rsidRPr="0083789D" w:rsidRDefault="004B11B3">
      <w:pPr>
        <w:pStyle w:val="FootnoteText"/>
        <w:rPr>
          <w:szCs w:val="18"/>
        </w:rPr>
      </w:pPr>
      <w:r w:rsidRPr="0083789D">
        <w:rPr>
          <w:rStyle w:val="FootnoteReference"/>
          <w:szCs w:val="18"/>
        </w:rPr>
        <w:footnoteRef/>
      </w:r>
      <w:r w:rsidR="00A134E9" w:rsidRPr="0083789D">
        <w:rPr>
          <w:szCs w:val="18"/>
        </w:rPr>
        <w:tab/>
      </w:r>
      <w:r w:rsidR="00C404C7" w:rsidRPr="0083789D">
        <w:rPr>
          <w:szCs w:val="18"/>
        </w:rPr>
        <w:t xml:space="preserve">Government of Georgia. 2020. </w:t>
      </w:r>
      <w:hyperlink r:id="rId6" w:history="1">
        <w:r w:rsidR="00C404C7" w:rsidRPr="0083789D">
          <w:rPr>
            <w:rStyle w:val="Hyperlink"/>
            <w:szCs w:val="18"/>
          </w:rPr>
          <w:t>Revised State Budget</w:t>
        </w:r>
      </w:hyperlink>
      <w:r w:rsidR="00C404C7" w:rsidRPr="0083789D">
        <w:rPr>
          <w:szCs w:val="18"/>
        </w:rPr>
        <w:t xml:space="preserve">. Tbilisi. </w:t>
      </w:r>
    </w:p>
  </w:footnote>
  <w:footnote w:id="10">
    <w:p w14:paraId="18DBA379" w14:textId="0F57CC2E" w:rsidR="007B55DC" w:rsidRPr="0083789D" w:rsidRDefault="007B55DC">
      <w:pPr>
        <w:pStyle w:val="FootnoteText"/>
        <w:rPr>
          <w:szCs w:val="18"/>
        </w:rPr>
      </w:pPr>
      <w:r w:rsidRPr="0083789D">
        <w:rPr>
          <w:rStyle w:val="FootnoteReference"/>
          <w:szCs w:val="18"/>
        </w:rPr>
        <w:footnoteRef/>
      </w:r>
      <w:r w:rsidRPr="0083789D">
        <w:rPr>
          <w:szCs w:val="18"/>
        </w:rPr>
        <w:t xml:space="preserve"> </w:t>
      </w:r>
      <w:r w:rsidR="00D6782F" w:rsidRPr="0083789D">
        <w:rPr>
          <w:szCs w:val="18"/>
        </w:rPr>
        <w:t xml:space="preserve"> </w:t>
      </w:r>
      <w:r w:rsidR="00FB4B26">
        <w:rPr>
          <w:szCs w:val="18"/>
        </w:rPr>
        <w:t xml:space="preserve">The </w:t>
      </w:r>
      <w:r w:rsidR="00AB10BC" w:rsidRPr="0083789D">
        <w:rPr>
          <w:szCs w:val="18"/>
        </w:rPr>
        <w:t xml:space="preserve">tax-to-GDP ratio </w:t>
      </w:r>
      <w:r w:rsidR="00D6782F" w:rsidRPr="0083789D">
        <w:rPr>
          <w:szCs w:val="18"/>
        </w:rPr>
        <w:t>will drop from</w:t>
      </w:r>
      <w:r w:rsidR="00AB10BC" w:rsidRPr="0083789D">
        <w:rPr>
          <w:szCs w:val="18"/>
        </w:rPr>
        <w:t xml:space="preserve"> 23%</w:t>
      </w:r>
      <w:r w:rsidR="009B2FB9">
        <w:rPr>
          <w:szCs w:val="18"/>
        </w:rPr>
        <w:t xml:space="preserve"> in the original 2020 budget</w:t>
      </w:r>
      <w:r w:rsidR="00AB10BC" w:rsidRPr="0083789D">
        <w:rPr>
          <w:szCs w:val="18"/>
        </w:rPr>
        <w:t xml:space="preserve"> to 21.4%</w:t>
      </w:r>
      <w:r w:rsidR="009B2FB9">
        <w:rPr>
          <w:szCs w:val="18"/>
        </w:rPr>
        <w:t xml:space="preserve"> in the revised budget</w:t>
      </w:r>
      <w:r w:rsidR="00AB10BC" w:rsidRPr="0083789D">
        <w:rPr>
          <w:szCs w:val="18"/>
        </w:rPr>
        <w:t xml:space="preserve">. </w:t>
      </w:r>
    </w:p>
  </w:footnote>
  <w:footnote w:id="11">
    <w:p w14:paraId="744FEF85" w14:textId="1768CFAC" w:rsidR="003E74F1" w:rsidRDefault="003E74F1">
      <w:pPr>
        <w:pStyle w:val="FootnoteText"/>
      </w:pPr>
      <w:r w:rsidRPr="0083789D">
        <w:rPr>
          <w:rStyle w:val="FootnoteReference"/>
          <w:szCs w:val="18"/>
        </w:rPr>
        <w:footnoteRef/>
      </w:r>
      <w:r w:rsidR="00983A9A" w:rsidRPr="0083789D">
        <w:rPr>
          <w:szCs w:val="18"/>
        </w:rPr>
        <w:tab/>
      </w:r>
      <w:r w:rsidRPr="0083789D">
        <w:rPr>
          <w:szCs w:val="18"/>
        </w:rPr>
        <w:t>Increase in expenditure was primarily led by a 28.6% increase in social benefits spending.</w:t>
      </w:r>
    </w:p>
  </w:footnote>
  <w:footnote w:id="12">
    <w:p w14:paraId="23FD1319" w14:textId="07229734" w:rsidR="00F36D1F" w:rsidRDefault="00F36D1F">
      <w:pPr>
        <w:pStyle w:val="FootnoteText"/>
      </w:pPr>
      <w:r>
        <w:rPr>
          <w:rStyle w:val="FootnoteReference"/>
        </w:rPr>
        <w:footnoteRef/>
      </w:r>
      <w:r>
        <w:t xml:space="preserve"> </w:t>
      </w:r>
      <w:r w:rsidR="000A5AB5">
        <w:t>G</w:t>
      </w:r>
      <w:r w:rsidR="009A5B80">
        <w:t xml:space="preserve">overnment </w:t>
      </w:r>
      <w:r w:rsidR="000A5AB5">
        <w:t xml:space="preserve">plans to reduce government </w:t>
      </w:r>
      <w:r w:rsidR="009A5B80">
        <w:t>debt as a share of GDP</w:t>
      </w:r>
      <w:r w:rsidR="000A5AB5">
        <w:t xml:space="preserve"> to 52.2% in 2021; 53.9% in 2022; 53% in 2023; and </w:t>
      </w:r>
      <w:r w:rsidR="009C450D">
        <w:t xml:space="preserve">51.9% in 2024. MOF. 2020. </w:t>
      </w:r>
      <w:hyperlink r:id="rId7" w:history="1">
        <w:r w:rsidR="009C450D" w:rsidRPr="00DF4C40">
          <w:rPr>
            <w:rStyle w:val="Hyperlink"/>
          </w:rPr>
          <w:t>Basic Economic and Financial Indicators</w:t>
        </w:r>
      </w:hyperlink>
      <w:r w:rsidR="009C450D">
        <w:t>. (accessed on 15 August 2020)</w:t>
      </w:r>
    </w:p>
  </w:footnote>
  <w:footnote w:id="13">
    <w:p w14:paraId="078D9F1C" w14:textId="3DA360AF" w:rsidR="003076E6" w:rsidRPr="0083789D" w:rsidRDefault="003076E6">
      <w:pPr>
        <w:pStyle w:val="FootnoteText"/>
        <w:rPr>
          <w:szCs w:val="18"/>
        </w:rPr>
      </w:pPr>
      <w:r w:rsidRPr="0083789D">
        <w:rPr>
          <w:rStyle w:val="FootnoteReference"/>
          <w:szCs w:val="18"/>
        </w:rPr>
        <w:footnoteRef/>
      </w:r>
      <w:r w:rsidR="00A134E9" w:rsidRPr="0083789D">
        <w:rPr>
          <w:szCs w:val="18"/>
        </w:rPr>
        <w:tab/>
      </w:r>
      <w:r w:rsidRPr="0083789D">
        <w:rPr>
          <w:szCs w:val="18"/>
        </w:rPr>
        <w:t>The Economic Liberty Act, adopted in 2011 and effective since 2014, established numerical upper limits for public debt (60% of GDP), the budget balance (3% of GDP), and expenditures (30% of GDP). Public debt and budget balance rules have been adhered to since their introduction. The ceiling on expenditure was breached in 2014–2015 but only marginally and this trend has since been reversed.</w:t>
      </w:r>
    </w:p>
  </w:footnote>
  <w:footnote w:id="14">
    <w:p w14:paraId="1C681726" w14:textId="74866AFC" w:rsidR="00E654D0" w:rsidRDefault="00E654D0">
      <w:pPr>
        <w:pStyle w:val="FootnoteText"/>
      </w:pPr>
      <w:r>
        <w:rPr>
          <w:rStyle w:val="FootnoteReference"/>
        </w:rPr>
        <w:footnoteRef/>
      </w:r>
      <w:r>
        <w:t xml:space="preserve"> MOF. 2020. </w:t>
      </w:r>
      <w:hyperlink r:id="rId8" w:history="1">
        <w:r w:rsidRPr="00DF4C40">
          <w:rPr>
            <w:rStyle w:val="Hyperlink"/>
          </w:rPr>
          <w:t>Basic Economic and Financial Indicators</w:t>
        </w:r>
      </w:hyperlink>
      <w:r>
        <w:t>. (accessed on 15 August 2020)</w:t>
      </w:r>
    </w:p>
  </w:footnote>
  <w:footnote w:id="15">
    <w:p w14:paraId="31B41A8F" w14:textId="0E5F50F5" w:rsidR="00943E4E" w:rsidRDefault="00943E4E">
      <w:pPr>
        <w:pStyle w:val="FootnoteText"/>
      </w:pPr>
      <w:r>
        <w:rPr>
          <w:rStyle w:val="FootnoteReference"/>
        </w:rPr>
        <w:footnoteRef/>
      </w:r>
      <w:r>
        <w:t xml:space="preserve"> </w:t>
      </w:r>
      <w:r w:rsidRPr="00943E4E">
        <w:t>Rising costs of foreign currency-denominated debt due to depreciation of the GEL may impose additional challenges to economic recovery.</w:t>
      </w:r>
    </w:p>
  </w:footnote>
  <w:footnote w:id="16">
    <w:p w14:paraId="546ED30C" w14:textId="4E83F878" w:rsidR="00DF4C40" w:rsidRDefault="00DF4C40" w:rsidP="00B6599C">
      <w:pPr>
        <w:pStyle w:val="FootnoteText"/>
      </w:pPr>
      <w:r>
        <w:rPr>
          <w:rStyle w:val="FootnoteReference"/>
        </w:rPr>
        <w:footnoteRef/>
      </w:r>
      <w:r>
        <w:t xml:space="preserve"> IMF. 2020. </w:t>
      </w:r>
      <w:hyperlink r:id="rId9" w:history="1">
        <w:r w:rsidR="00B6599C" w:rsidRPr="000B626F">
          <w:rPr>
            <w:rStyle w:val="Hyperlink"/>
          </w:rPr>
          <w:t>Technical Assistance Report – The Public Sector Balance Sheet and State Owned Enterprises. IMF Country Report No. 20/223.</w:t>
        </w:r>
      </w:hyperlink>
      <w:r w:rsidR="00B6599C">
        <w:t xml:space="preserve"> Washington D.C.</w:t>
      </w:r>
    </w:p>
  </w:footnote>
  <w:footnote w:id="17">
    <w:p w14:paraId="22B0BF40" w14:textId="6B07FD9F" w:rsidR="00F00A4C" w:rsidRDefault="00F00A4C">
      <w:pPr>
        <w:pStyle w:val="FootnoteText"/>
      </w:pPr>
      <w:r>
        <w:rPr>
          <w:rStyle w:val="FootnoteReference"/>
        </w:rPr>
        <w:footnoteRef/>
      </w:r>
      <w:r>
        <w:t xml:space="preserve"> In the revised 2020 State Budget, the authorities </w:t>
      </w:r>
      <w:r w:rsidR="00D457D2">
        <w:t xml:space="preserve">announce a gradual reduction in the fiscal deficit to 5.1% in 2021, 4.3% in 2022, 3.2% in 2023 and 2.6% in 2024. </w:t>
      </w:r>
      <w:r w:rsidR="00A775BB">
        <w:t xml:space="preserve">MOF. 2020. </w:t>
      </w:r>
      <w:hyperlink r:id="rId10" w:history="1">
        <w:r w:rsidR="00A775BB" w:rsidRPr="00DF4C40">
          <w:rPr>
            <w:rStyle w:val="Hyperlink"/>
          </w:rPr>
          <w:t>Basic Economic and Financial Indicators</w:t>
        </w:r>
      </w:hyperlink>
      <w:r w:rsidR="00A775BB">
        <w:t>. (accessed on 15 August 2020)</w:t>
      </w:r>
    </w:p>
  </w:footnote>
  <w:footnote w:id="18">
    <w:p w14:paraId="29D1AF47" w14:textId="6727881C" w:rsidR="00F0128F" w:rsidRPr="0083789D" w:rsidRDefault="00F0128F">
      <w:pPr>
        <w:pStyle w:val="FootnoteText"/>
        <w:rPr>
          <w:szCs w:val="18"/>
        </w:rPr>
      </w:pPr>
      <w:r w:rsidRPr="0083789D">
        <w:rPr>
          <w:rStyle w:val="FootnoteReference"/>
          <w:szCs w:val="18"/>
        </w:rPr>
        <w:footnoteRef/>
      </w:r>
      <w:r w:rsidR="00A134E9" w:rsidRPr="0083789D">
        <w:rPr>
          <w:szCs w:val="18"/>
        </w:rPr>
        <w:tab/>
      </w:r>
      <w:r w:rsidRPr="0083789D">
        <w:rPr>
          <w:szCs w:val="18"/>
        </w:rPr>
        <w:t xml:space="preserve">Ministry of Finance of Georgia. 2019. </w:t>
      </w:r>
      <w:hyperlink r:id="rId11" w:history="1">
        <w:r w:rsidRPr="0083789D">
          <w:rPr>
            <w:rStyle w:val="Hyperlink"/>
            <w:szCs w:val="18"/>
          </w:rPr>
          <w:t>General Government Debt Management Strategy 2019-2021</w:t>
        </w:r>
      </w:hyperlink>
      <w:r w:rsidRPr="0083789D">
        <w:rPr>
          <w:szCs w:val="18"/>
        </w:rPr>
        <w:t xml:space="preserve">. Tbilisi. </w:t>
      </w:r>
    </w:p>
  </w:footnote>
  <w:footnote w:id="19">
    <w:p w14:paraId="1A0D6532" w14:textId="729D9008" w:rsidR="008F2BA4" w:rsidRPr="0083789D" w:rsidRDefault="008F2BA4">
      <w:pPr>
        <w:pStyle w:val="FootnoteText"/>
        <w:rPr>
          <w:szCs w:val="18"/>
        </w:rPr>
      </w:pPr>
      <w:r w:rsidRPr="0083789D">
        <w:rPr>
          <w:rStyle w:val="FootnoteReference"/>
          <w:szCs w:val="18"/>
        </w:rPr>
        <w:footnoteRef/>
      </w:r>
      <w:r w:rsidR="00A134E9" w:rsidRPr="0083789D">
        <w:rPr>
          <w:szCs w:val="18"/>
        </w:rPr>
        <w:tab/>
      </w:r>
      <w:r w:rsidR="00D33ABC" w:rsidRPr="0083789D">
        <w:rPr>
          <w:szCs w:val="18"/>
        </w:rPr>
        <w:t xml:space="preserve">NBG. 2016. </w:t>
      </w:r>
      <w:hyperlink r:id="rId12" w:history="1">
        <w:r w:rsidR="00D33ABC" w:rsidRPr="0083789D">
          <w:rPr>
            <w:rStyle w:val="Hyperlink"/>
            <w:szCs w:val="18"/>
          </w:rPr>
          <w:t>Recommendations for Development of Capital Market in Georgia</w:t>
        </w:r>
      </w:hyperlink>
      <w:r w:rsidR="00D33ABC" w:rsidRPr="0083789D">
        <w:rPr>
          <w:szCs w:val="18"/>
        </w:rPr>
        <w:t xml:space="preserve">. Tbilisi. </w:t>
      </w:r>
    </w:p>
  </w:footnote>
  <w:footnote w:id="20">
    <w:p w14:paraId="534C93DC" w14:textId="30AFA71F" w:rsidR="001A793D" w:rsidRPr="0083789D" w:rsidRDefault="001A793D" w:rsidP="001A793D">
      <w:pPr>
        <w:pStyle w:val="FootnoteText"/>
        <w:rPr>
          <w:szCs w:val="18"/>
        </w:rPr>
      </w:pPr>
      <w:r w:rsidRPr="0083789D">
        <w:rPr>
          <w:rStyle w:val="FootnoteReference"/>
          <w:szCs w:val="18"/>
        </w:rPr>
        <w:footnoteRef/>
      </w:r>
      <w:r w:rsidR="00A134E9" w:rsidRPr="0083789D">
        <w:rPr>
          <w:szCs w:val="18"/>
        </w:rPr>
        <w:tab/>
      </w:r>
      <w:r w:rsidR="00E86C8A" w:rsidRPr="0083789D">
        <w:rPr>
          <w:rFonts w:cs="Arial"/>
          <w:color w:val="000000" w:themeColor="text1"/>
          <w:szCs w:val="18"/>
        </w:rPr>
        <w:t>S</w:t>
      </w:r>
      <w:r w:rsidRPr="0083789D">
        <w:rPr>
          <w:rFonts w:cs="Arial"/>
          <w:color w:val="000000" w:themeColor="text1"/>
          <w:szCs w:val="18"/>
        </w:rPr>
        <w:t xml:space="preserve">hare of domestic debt which stood at 8.3% of GDP in </w:t>
      </w:r>
      <w:r w:rsidR="0098591D" w:rsidRPr="0083789D">
        <w:rPr>
          <w:rFonts w:cs="Arial"/>
          <w:color w:val="000000" w:themeColor="text1"/>
          <w:szCs w:val="18"/>
        </w:rPr>
        <w:t>2019 and</w:t>
      </w:r>
      <w:r w:rsidRPr="0083789D">
        <w:rPr>
          <w:rFonts w:cs="Arial"/>
          <w:color w:val="000000" w:themeColor="text1"/>
          <w:szCs w:val="18"/>
        </w:rPr>
        <w:t xml:space="preserve"> is expected to exceed 10% of GDP in 2020</w:t>
      </w:r>
      <w:r w:rsidR="00A970D2" w:rsidRPr="0083789D">
        <w:rPr>
          <w:rFonts w:cs="Arial"/>
          <w:color w:val="000000" w:themeColor="text1"/>
          <w:szCs w:val="18"/>
        </w:rPr>
        <w:t>.</w:t>
      </w:r>
    </w:p>
  </w:footnote>
  <w:footnote w:id="21">
    <w:p w14:paraId="63996331" w14:textId="7C328E4B" w:rsidR="00E54DB7" w:rsidRDefault="00E54DB7">
      <w:pPr>
        <w:pStyle w:val="FootnoteText"/>
      </w:pPr>
      <w:r w:rsidRPr="0083789D">
        <w:rPr>
          <w:rStyle w:val="FootnoteReference"/>
          <w:szCs w:val="18"/>
        </w:rPr>
        <w:footnoteRef/>
      </w:r>
      <w:r w:rsidR="004F2E87" w:rsidRPr="0083789D">
        <w:rPr>
          <w:szCs w:val="18"/>
        </w:rPr>
        <w:tab/>
      </w:r>
      <w:r w:rsidRPr="0083789D">
        <w:rPr>
          <w:szCs w:val="18"/>
        </w:rPr>
        <w:t>IMF. 2020. Debt Management Responses to the Pandemic</w:t>
      </w:r>
      <w:r w:rsidR="00380464" w:rsidRPr="0083789D">
        <w:rPr>
          <w:szCs w:val="18"/>
        </w:rPr>
        <w:t xml:space="preserve">. </w:t>
      </w:r>
      <w:r w:rsidR="00E92291" w:rsidRPr="0083789D">
        <w:rPr>
          <w:szCs w:val="18"/>
        </w:rPr>
        <w:t>Washington</w:t>
      </w:r>
      <w:r w:rsidR="00380464" w:rsidRPr="0083789D">
        <w:rPr>
          <w:szCs w:val="18"/>
        </w:rPr>
        <w:t xml:space="preserve"> D.C.</w:t>
      </w:r>
    </w:p>
  </w:footnote>
  <w:footnote w:id="22">
    <w:p w14:paraId="776DA845" w14:textId="29D9037F" w:rsidR="00870D34" w:rsidRPr="0083789D" w:rsidRDefault="00870D34">
      <w:pPr>
        <w:pStyle w:val="FootnoteText"/>
        <w:rPr>
          <w:szCs w:val="18"/>
        </w:rPr>
      </w:pPr>
      <w:r w:rsidRPr="0083789D">
        <w:rPr>
          <w:rStyle w:val="FootnoteReference"/>
          <w:szCs w:val="18"/>
        </w:rPr>
        <w:footnoteRef/>
      </w:r>
      <w:r w:rsidR="00345271" w:rsidRPr="0083789D">
        <w:rPr>
          <w:szCs w:val="18"/>
        </w:rPr>
        <w:tab/>
      </w:r>
      <w:r w:rsidRPr="0083789D">
        <w:rPr>
          <w:szCs w:val="18"/>
        </w:rPr>
        <w:t xml:space="preserve">Abuselidze, G. 2018. </w:t>
      </w:r>
      <w:hyperlink r:id="rId13" w:history="1">
        <w:r w:rsidRPr="0083789D">
          <w:rPr>
            <w:rStyle w:val="Hyperlink"/>
            <w:szCs w:val="18"/>
          </w:rPr>
          <w:t>Georgia’s Capital Market: Functioning problems and development directions in association with European Union.</w:t>
        </w:r>
      </w:hyperlink>
      <w:r w:rsidRPr="0083789D">
        <w:rPr>
          <w:szCs w:val="18"/>
        </w:rPr>
        <w:t xml:space="preserve"> Journal of Applied Economic Sciences, 13(7):1929-</w:t>
      </w:r>
      <w:r w:rsidR="00EA24B5" w:rsidRPr="0083789D">
        <w:rPr>
          <w:szCs w:val="18"/>
        </w:rPr>
        <w:t xml:space="preserve">1938. </w:t>
      </w:r>
    </w:p>
  </w:footnote>
  <w:footnote w:id="23">
    <w:p w14:paraId="290D5555" w14:textId="77777777" w:rsidR="009944E2" w:rsidRPr="0083789D" w:rsidRDefault="009944E2" w:rsidP="009944E2">
      <w:pPr>
        <w:pStyle w:val="FootnoteText"/>
        <w:rPr>
          <w:szCs w:val="18"/>
        </w:rPr>
      </w:pPr>
      <w:r w:rsidRPr="0083789D">
        <w:rPr>
          <w:rStyle w:val="FootnoteReference"/>
          <w:szCs w:val="18"/>
        </w:rPr>
        <w:footnoteRef/>
      </w:r>
      <w:r w:rsidRPr="0083789D">
        <w:rPr>
          <w:szCs w:val="18"/>
        </w:rPr>
        <w:tab/>
        <w:t xml:space="preserve">Total assets across all government-controlled entities amount to 149% of GDP while liabilities are worth 81% of GDP, leaving a positive net worth of 68% of GDP. IMF. 2020. </w:t>
      </w:r>
      <w:hyperlink r:id="rId14" w:history="1">
        <w:r w:rsidRPr="0083789D">
          <w:rPr>
            <w:rStyle w:val="Hyperlink"/>
            <w:szCs w:val="18"/>
          </w:rPr>
          <w:t xml:space="preserve">Technical Assistance Report – The Public Sector Balance Sheet and State Owned Enterprises. </w:t>
        </w:r>
        <w:r w:rsidRPr="0083789D">
          <w:rPr>
            <w:rStyle w:val="Hyperlink"/>
            <w:i/>
            <w:iCs/>
            <w:szCs w:val="18"/>
          </w:rPr>
          <w:t>IMF Country Report No. 20/223.</w:t>
        </w:r>
      </w:hyperlink>
      <w:r w:rsidRPr="0083789D">
        <w:rPr>
          <w:szCs w:val="18"/>
        </w:rPr>
        <w:t xml:space="preserve"> Washington D.C</w:t>
      </w:r>
    </w:p>
  </w:footnote>
  <w:footnote w:id="24">
    <w:p w14:paraId="7F8F73E5" w14:textId="77777777" w:rsidR="009944E2" w:rsidRPr="0083789D" w:rsidRDefault="009944E2" w:rsidP="009944E2">
      <w:pPr>
        <w:pStyle w:val="FootnoteText"/>
        <w:rPr>
          <w:szCs w:val="18"/>
        </w:rPr>
      </w:pPr>
      <w:r w:rsidRPr="0083789D">
        <w:rPr>
          <w:rStyle w:val="FootnoteReference"/>
          <w:szCs w:val="18"/>
        </w:rPr>
        <w:footnoteRef/>
      </w:r>
      <w:r w:rsidRPr="0083789D">
        <w:rPr>
          <w:szCs w:val="18"/>
        </w:rPr>
        <w:tab/>
        <w:t xml:space="preserve">IMF. 2020. </w:t>
      </w:r>
      <w:hyperlink r:id="rId15" w:history="1">
        <w:r w:rsidRPr="0083789D">
          <w:rPr>
            <w:rStyle w:val="Hyperlink"/>
            <w:szCs w:val="18"/>
          </w:rPr>
          <w:t xml:space="preserve">Georgia: Technical Assistance Report—Public Sector Balance Sheet and State Owned Enterprises. </w:t>
        </w:r>
        <w:r w:rsidRPr="0083789D">
          <w:rPr>
            <w:rStyle w:val="Hyperlink"/>
            <w:i/>
            <w:iCs/>
            <w:szCs w:val="18"/>
          </w:rPr>
          <w:t>IMF Country Report No. 20/223.</w:t>
        </w:r>
      </w:hyperlink>
      <w:r w:rsidRPr="0083789D">
        <w:rPr>
          <w:i/>
          <w:iCs/>
          <w:szCs w:val="18"/>
        </w:rPr>
        <w:t xml:space="preserve"> </w:t>
      </w:r>
      <w:r w:rsidRPr="0083789D">
        <w:rPr>
          <w:szCs w:val="18"/>
        </w:rPr>
        <w:t>Washington D.C.</w:t>
      </w:r>
    </w:p>
  </w:footnote>
  <w:footnote w:id="25">
    <w:p w14:paraId="3D5E061D" w14:textId="69D91C69" w:rsidR="009944E2" w:rsidRPr="0083789D" w:rsidRDefault="009944E2" w:rsidP="001256DF">
      <w:pPr>
        <w:pStyle w:val="FootnoteText"/>
        <w:rPr>
          <w:szCs w:val="18"/>
        </w:rPr>
      </w:pPr>
      <w:r w:rsidRPr="0083789D">
        <w:rPr>
          <w:rStyle w:val="FootnoteReference"/>
          <w:szCs w:val="18"/>
        </w:rPr>
        <w:footnoteRef/>
      </w:r>
      <w:r w:rsidRPr="0083789D">
        <w:rPr>
          <w:szCs w:val="18"/>
        </w:rPr>
        <w:tab/>
      </w:r>
      <w:r w:rsidR="001256DF" w:rsidRPr="0083789D">
        <w:rPr>
          <w:szCs w:val="18"/>
        </w:rPr>
        <w:t xml:space="preserve"> It is estimated that the Gross Financing Requirements of the six major SOEs total around GEL 7.6b (18 percent of GDP) during the 2021-2024 period</w:t>
      </w:r>
      <w:r w:rsidR="0046572B" w:rsidRPr="0083789D">
        <w:rPr>
          <w:szCs w:val="18"/>
        </w:rPr>
        <w:t xml:space="preserve"> with around</w:t>
      </w:r>
      <w:r w:rsidR="001256DF" w:rsidRPr="0083789D">
        <w:rPr>
          <w:szCs w:val="18"/>
        </w:rPr>
        <w:t xml:space="preserve">. </w:t>
      </w:r>
      <w:r w:rsidRPr="0083789D">
        <w:rPr>
          <w:szCs w:val="18"/>
        </w:rPr>
        <w:t>This includes around $350 million and EUR150 million by Georgian Oil and Gas Corporation (GOGC) and $400 million by Georgia Rail</w:t>
      </w:r>
      <w:r w:rsidR="00CF4333">
        <w:rPr>
          <w:szCs w:val="18"/>
        </w:rPr>
        <w:t xml:space="preserve"> (footnote 23)</w:t>
      </w:r>
      <w:r w:rsidRPr="0083789D">
        <w:rPr>
          <w:szCs w:val="18"/>
        </w:rPr>
        <w:t xml:space="preserve">. </w:t>
      </w:r>
    </w:p>
  </w:footnote>
  <w:footnote w:id="26">
    <w:p w14:paraId="5B1D4BFE" w14:textId="591F7B03" w:rsidR="009944E2" w:rsidRPr="0083789D" w:rsidRDefault="009944E2" w:rsidP="00C42F03">
      <w:pPr>
        <w:pStyle w:val="FootnoteText"/>
        <w:rPr>
          <w:szCs w:val="18"/>
        </w:rPr>
      </w:pPr>
      <w:r w:rsidRPr="0083789D">
        <w:rPr>
          <w:rStyle w:val="FootnoteReference"/>
          <w:szCs w:val="18"/>
        </w:rPr>
        <w:footnoteRef/>
      </w:r>
      <w:r w:rsidRPr="0083789D">
        <w:rPr>
          <w:szCs w:val="18"/>
        </w:rPr>
        <w:tab/>
        <w:t>SOEs have been a large financial drain on government finances with little contribution to public revenues. During the 2014–2018 period, net flows to SOEs amounted to GEL2.6 billion, while the government's GEL4.6 billion equity investment generated very little or no dividends. The costs of SOE financing could place addition strains on the fiscal balance going forward, widening the fiscal deficit and, as a result, the public debt to GDP ratio. Moreover, SOEs require GEL7.6 billion  gross financing over 2020–2022 partly for refinancing and new financing</w:t>
      </w:r>
      <w:r w:rsidR="00CF4333">
        <w:rPr>
          <w:szCs w:val="18"/>
        </w:rPr>
        <w:t xml:space="preserve"> (footnote 23)</w:t>
      </w:r>
      <w:r w:rsidRPr="0083789D">
        <w:rPr>
          <w:szCs w:val="18"/>
        </w:rPr>
        <w:t>.</w:t>
      </w:r>
      <w:r w:rsidR="00C42F03">
        <w:rPr>
          <w:szCs w:val="18"/>
        </w:rPr>
        <w:t xml:space="preserve"> </w:t>
      </w:r>
    </w:p>
  </w:footnote>
  <w:footnote w:id="27">
    <w:p w14:paraId="0DF937BA" w14:textId="313CC693" w:rsidR="009944E2" w:rsidRPr="0083789D" w:rsidRDefault="009944E2" w:rsidP="009944E2">
      <w:pPr>
        <w:pStyle w:val="FootnoteText"/>
        <w:rPr>
          <w:szCs w:val="18"/>
        </w:rPr>
      </w:pPr>
      <w:r w:rsidRPr="0083789D">
        <w:rPr>
          <w:rStyle w:val="FootnoteReference"/>
          <w:szCs w:val="18"/>
        </w:rPr>
        <w:footnoteRef/>
      </w:r>
      <w:r w:rsidRPr="0083789D">
        <w:rPr>
          <w:szCs w:val="18"/>
        </w:rPr>
        <w:tab/>
        <w:t>Some SOEs, such as Georgia Rail do receive revenues in foreign currencies, providing a partial hedge against currency fluctuations, but overall the major SOEs are heavily exposed to depreciations – particularly against the USD and euro – due to the large majority of their debt being in foreign currency</w:t>
      </w:r>
      <w:r w:rsidR="00CF4333">
        <w:rPr>
          <w:szCs w:val="18"/>
        </w:rPr>
        <w:t xml:space="preserve"> (footnote 23).</w:t>
      </w:r>
    </w:p>
  </w:footnote>
  <w:footnote w:id="28">
    <w:p w14:paraId="1F8BCA71" w14:textId="6B3C04CE" w:rsidR="00911477" w:rsidRDefault="00911477">
      <w:pPr>
        <w:pStyle w:val="FootnoteText"/>
      </w:pPr>
      <w:r w:rsidRPr="0083789D">
        <w:rPr>
          <w:rStyle w:val="FootnoteReference"/>
          <w:szCs w:val="18"/>
        </w:rPr>
        <w:footnoteRef/>
      </w:r>
      <w:r w:rsidRPr="0083789D">
        <w:rPr>
          <w:szCs w:val="18"/>
        </w:rPr>
        <w:t xml:space="preserve"> </w:t>
      </w:r>
      <w:r w:rsidR="007D0AE2" w:rsidRPr="0083789D">
        <w:rPr>
          <w:szCs w:val="18"/>
        </w:rPr>
        <w:t>Annual payments for existing guarantees under PPAs are set to peak in 2024 at 0.6% of GDP under a favorable scenario</w:t>
      </w:r>
      <w:r w:rsidR="00CB5494">
        <w:rPr>
          <w:szCs w:val="18"/>
        </w:rPr>
        <w:t xml:space="preserve"> (footnote 23). </w:t>
      </w:r>
    </w:p>
  </w:footnote>
  <w:footnote w:id="29">
    <w:p w14:paraId="3871DE2F" w14:textId="1CA5E5FD" w:rsidR="00775BF1" w:rsidRDefault="00775BF1">
      <w:pPr>
        <w:pStyle w:val="FootnoteText"/>
      </w:pPr>
      <w:r>
        <w:rPr>
          <w:rStyle w:val="FootnoteReference"/>
        </w:rPr>
        <w:footnoteRef/>
      </w:r>
      <w:r w:rsidR="00345271">
        <w:tab/>
      </w:r>
      <w:r>
        <w:t xml:space="preserve">IMF. 2020. </w:t>
      </w:r>
      <w:hyperlink r:id="rId16" w:history="1">
        <w:r w:rsidRPr="00B7187E">
          <w:rPr>
            <w:rStyle w:val="Hyperlink"/>
          </w:rPr>
          <w:t xml:space="preserve">Technical Assistance Report – The Public Sector Balance Sheet and State Owned Enterprises. </w:t>
        </w:r>
        <w:r w:rsidRPr="00B7187E">
          <w:rPr>
            <w:rStyle w:val="Hyperlink"/>
            <w:i/>
            <w:iCs/>
          </w:rPr>
          <w:t>IMF Country Report No. 20/223.</w:t>
        </w:r>
      </w:hyperlink>
      <w:r>
        <w:t xml:space="preserve"> Washington D.C.</w:t>
      </w:r>
    </w:p>
  </w:footnote>
  <w:footnote w:id="30">
    <w:p w14:paraId="1AE6B4E3" w14:textId="03FBFA28" w:rsidR="003B027F" w:rsidRDefault="003B027F">
      <w:pPr>
        <w:pStyle w:val="FootnoteText"/>
      </w:pPr>
      <w:r>
        <w:rPr>
          <w:rStyle w:val="FootnoteReference"/>
        </w:rPr>
        <w:footnoteRef/>
      </w:r>
      <w:r w:rsidR="00345271">
        <w:tab/>
      </w:r>
      <w:r>
        <w:t>IMF. 2020. Managing Fiscal Risks Under Fiscal Stress. Washington D.C.</w:t>
      </w:r>
      <w:r w:rsidR="002B0927" w:rsidRPr="002B0927">
        <w:rPr>
          <w:rFonts w:cs="Arial"/>
          <w:color w:val="000000" w:themeColor="text1"/>
        </w:rPr>
        <w:t xml:space="preserve"> </w:t>
      </w:r>
      <w:r w:rsidR="002B0927">
        <w:rPr>
          <w:rFonts w:cs="Arial"/>
          <w:color w:val="000000" w:themeColor="text1"/>
        </w:rPr>
        <w:t>For example, c</w:t>
      </w:r>
      <w:r w:rsidR="002B0927" w:rsidRPr="002C04D2">
        <w:rPr>
          <w:rFonts w:cs="Arial"/>
          <w:color w:val="000000" w:themeColor="text1"/>
        </w:rPr>
        <w:t>ontingent liabilities stemming from natural disasters</w:t>
      </w:r>
      <w:r w:rsidR="002B0927">
        <w:rPr>
          <w:rFonts w:cs="Arial"/>
          <w:color w:val="000000" w:themeColor="text1"/>
        </w:rPr>
        <w:t xml:space="preserve"> </w:t>
      </w:r>
      <w:r w:rsidR="002B0927" w:rsidRPr="002C04D2">
        <w:rPr>
          <w:rFonts w:cs="Arial"/>
          <w:color w:val="000000" w:themeColor="text1"/>
        </w:rPr>
        <w:t>have historically been as high as 10% of GDP in some countries.</w:t>
      </w:r>
      <w:r w:rsidR="002B0927" w:rsidRPr="002B0927">
        <w:t xml:space="preserve"> </w:t>
      </w:r>
      <w:r w:rsidR="002B0927">
        <w:t xml:space="preserve">IMF. 2003. </w:t>
      </w:r>
      <w:r w:rsidR="002B0927" w:rsidRPr="00D51A47">
        <w:rPr>
          <w:i/>
          <w:iCs/>
        </w:rPr>
        <w:t>“Dealing with Increased Risk of Natural Disasters: Challenges and Options”.</w:t>
      </w:r>
      <w:r w:rsidR="002B0927" w:rsidRPr="00D67E4C">
        <w:t xml:space="preserve"> Washington</w:t>
      </w:r>
      <w:r w:rsidR="002B0927">
        <w:t xml:space="preserve"> D.C.</w:t>
      </w:r>
    </w:p>
  </w:footnote>
  <w:footnote w:id="31">
    <w:p w14:paraId="41130A38" w14:textId="538E9898" w:rsidR="00D67E4C" w:rsidRDefault="00D67E4C">
      <w:pPr>
        <w:pStyle w:val="FootnoteText"/>
      </w:pPr>
      <w:r>
        <w:rPr>
          <w:rStyle w:val="FootnoteReference"/>
        </w:rPr>
        <w:footnoteRef/>
      </w:r>
      <w:r w:rsidR="00345271">
        <w:tab/>
      </w:r>
      <w:r>
        <w:t xml:space="preserve">IMF. 2003. </w:t>
      </w:r>
      <w:r w:rsidRPr="00D51A47">
        <w:rPr>
          <w:i/>
          <w:iCs/>
        </w:rPr>
        <w:t>“Dealing with Increased Risk of Natural Disasters: Challenges and Options”.</w:t>
      </w:r>
      <w:r w:rsidRPr="00D67E4C">
        <w:t xml:space="preserve"> Washington</w:t>
      </w:r>
      <w:r>
        <w:t xml:space="preserve"> D.C.</w:t>
      </w:r>
    </w:p>
  </w:footnote>
  <w:footnote w:id="32">
    <w:p w14:paraId="7002BDFF" w14:textId="2080D158" w:rsidR="000B53DD" w:rsidRDefault="000B53DD">
      <w:pPr>
        <w:pStyle w:val="FootnoteText"/>
      </w:pPr>
      <w:r>
        <w:rPr>
          <w:rStyle w:val="FootnoteReference"/>
        </w:rPr>
        <w:footnoteRef/>
      </w:r>
      <w:r w:rsidR="00345271">
        <w:tab/>
      </w:r>
      <w:r>
        <w:t xml:space="preserve">IMF. 2015. </w:t>
      </w:r>
      <w:hyperlink r:id="rId17" w:history="1">
        <w:r w:rsidR="00D51A47" w:rsidRPr="00D51A47">
          <w:rPr>
            <w:rStyle w:val="Hyperlink"/>
          </w:rPr>
          <w:t>From Systemic Banking Crises to Fiscal Costs: Risk Factors</w:t>
        </w:r>
      </w:hyperlink>
      <w:r w:rsidR="00D51A47">
        <w:t xml:space="preserve">. Washington D.C. </w:t>
      </w:r>
    </w:p>
  </w:footnote>
  <w:footnote w:id="33">
    <w:p w14:paraId="7AFCB603" w14:textId="77777777" w:rsidR="00D5295B" w:rsidRDefault="00D5295B" w:rsidP="00D5295B">
      <w:pPr>
        <w:pStyle w:val="FootnoteText"/>
      </w:pPr>
      <w:r>
        <w:rPr>
          <w:rStyle w:val="FootnoteReference"/>
        </w:rPr>
        <w:footnoteRef/>
      </w:r>
      <w:r>
        <w:tab/>
        <w:t>ADB. 2016. Georgia Social Protection Index 2015. Manila.</w:t>
      </w:r>
    </w:p>
  </w:footnote>
  <w:footnote w:id="34">
    <w:p w14:paraId="4BDF7B90" w14:textId="77777777" w:rsidR="00D5295B" w:rsidRDefault="00D5295B" w:rsidP="00D5295B">
      <w:pPr>
        <w:pStyle w:val="FootnoteText"/>
      </w:pPr>
      <w:r>
        <w:rPr>
          <w:rStyle w:val="FootnoteReference"/>
        </w:rPr>
        <w:footnoteRef/>
      </w:r>
      <w:r>
        <w:tab/>
        <w:t xml:space="preserve">United National Population Fund (UNFPA). 2014. </w:t>
      </w:r>
      <w:hyperlink r:id="rId18" w:history="1">
        <w:r w:rsidRPr="00A15D71">
          <w:rPr>
            <w:rStyle w:val="Hyperlink"/>
          </w:rPr>
          <w:t>General Population Census in Georgia</w:t>
        </w:r>
      </w:hyperlink>
      <w:r>
        <w:t>. Tbilisi.</w:t>
      </w:r>
    </w:p>
  </w:footnote>
  <w:footnote w:id="35">
    <w:p w14:paraId="5794217F" w14:textId="77777777" w:rsidR="00D5295B" w:rsidRDefault="00D5295B" w:rsidP="00D5295B">
      <w:pPr>
        <w:pStyle w:val="FootnoteText"/>
      </w:pPr>
      <w:r>
        <w:rPr>
          <w:rStyle w:val="FootnoteReference"/>
        </w:rPr>
        <w:footnoteRef/>
      </w:r>
      <w:r>
        <w:tab/>
        <w:t xml:space="preserve">Geostat. </w:t>
      </w:r>
      <w:hyperlink r:id="rId19" w:history="1">
        <w:r w:rsidRPr="00A26062">
          <w:rPr>
            <w:rStyle w:val="Hyperlink"/>
          </w:rPr>
          <w:t>Living Conditions</w:t>
        </w:r>
      </w:hyperlink>
      <w:r>
        <w:t>. (accessed 14 July 2020)</w:t>
      </w:r>
    </w:p>
  </w:footnote>
  <w:footnote w:id="36">
    <w:p w14:paraId="68D5EB56" w14:textId="77777777" w:rsidR="00D5295B" w:rsidRDefault="00D5295B" w:rsidP="00D5295B">
      <w:pPr>
        <w:pStyle w:val="FootnoteText"/>
      </w:pPr>
      <w:r>
        <w:rPr>
          <w:rStyle w:val="FootnoteReference"/>
        </w:rPr>
        <w:footnoteRef/>
      </w:r>
      <w:r>
        <w:tab/>
        <w:t xml:space="preserve">In addition to generalized lack of access to labor income sources, adults aged 60 are also much more likely to live with </w:t>
      </w:r>
      <w:r w:rsidRPr="000953DB">
        <w:t xml:space="preserve">disabilities </w:t>
      </w:r>
      <w:r>
        <w:t>than young adults</w:t>
      </w:r>
      <w:r w:rsidRPr="000953DB">
        <w:t>.</w:t>
      </w:r>
      <w:r>
        <w:t xml:space="preserve"> Around</w:t>
      </w:r>
      <w:r w:rsidRPr="000953DB">
        <w:t xml:space="preserve"> 20.5% of old-age pensioners are classified as disabled (58.6 percent of the total number of disabled in the country.). Moreover, a majority (57.6 percent) of persons aged 65 and over consider themselves unhealthy (in bad or very bad health).</w:t>
      </w:r>
      <w:r w:rsidRPr="001A639C">
        <w:t xml:space="preserve"> </w:t>
      </w:r>
      <w:r>
        <w:t xml:space="preserve">Geostat. </w:t>
      </w:r>
      <w:hyperlink r:id="rId20" w:history="1">
        <w:r w:rsidRPr="00A26062">
          <w:rPr>
            <w:rStyle w:val="Hyperlink"/>
          </w:rPr>
          <w:t>Living Conditions</w:t>
        </w:r>
      </w:hyperlink>
      <w:r>
        <w:t>. (accessed 14 July 2020)</w:t>
      </w:r>
    </w:p>
  </w:footnote>
  <w:footnote w:id="37">
    <w:p w14:paraId="69430723" w14:textId="77777777" w:rsidR="00D06F6A" w:rsidRDefault="00D06F6A" w:rsidP="00D06F6A">
      <w:pPr>
        <w:pStyle w:val="FootnoteText"/>
      </w:pPr>
      <w:r>
        <w:rPr>
          <w:rStyle w:val="FootnoteReference"/>
        </w:rPr>
        <w:footnoteRef/>
      </w:r>
      <w:r>
        <w:tab/>
      </w:r>
      <w:r w:rsidRPr="00B2027A">
        <w:t>Sector Assessment (Summary): Social Protection</w:t>
      </w:r>
      <w:r>
        <w:t xml:space="preserve"> (accessible from the list of linked documents in Appendix 2)</w:t>
      </w:r>
    </w:p>
  </w:footnote>
  <w:footnote w:id="38">
    <w:p w14:paraId="4B75A7E7" w14:textId="77777777" w:rsidR="00D06F6A" w:rsidRDefault="00D06F6A" w:rsidP="00D06F6A">
      <w:pPr>
        <w:pStyle w:val="FootnoteText"/>
      </w:pPr>
      <w:r>
        <w:rPr>
          <w:rStyle w:val="FootnoteReference"/>
        </w:rPr>
        <w:footnoteRef/>
      </w:r>
      <w:r>
        <w:tab/>
      </w:r>
      <w:r w:rsidRPr="000D7AD3">
        <w:t>UNFPA projections, based on the 2014 Census, suggest that the share of persons 65 and older will reach 18.9 percent in 2030 (732 thousand persons) and will further increase to 25.3 percent – to one in four persons – in 2050 (880 thousand persons)</w:t>
      </w:r>
      <w:r>
        <w:t xml:space="preserve">. UNFPA. 2017. </w:t>
      </w:r>
      <w:hyperlink r:id="rId21" w:history="1">
        <w:r w:rsidRPr="004B66AE">
          <w:rPr>
            <w:rStyle w:val="Hyperlink"/>
          </w:rPr>
          <w:t>Ageing and Older Persons in Georgia</w:t>
        </w:r>
      </w:hyperlink>
      <w:r>
        <w:t>. Tbilisi.</w:t>
      </w:r>
    </w:p>
  </w:footnote>
  <w:footnote w:id="39">
    <w:p w14:paraId="7BB71FC2" w14:textId="77777777" w:rsidR="00D06F6A" w:rsidRDefault="00D06F6A" w:rsidP="00D06F6A">
      <w:pPr>
        <w:pStyle w:val="FootnoteText"/>
      </w:pPr>
      <w:r w:rsidRPr="006108F9">
        <w:rPr>
          <w:rStyle w:val="FootnoteReference"/>
        </w:rPr>
        <w:footnoteRef/>
      </w:r>
      <w:r>
        <w:tab/>
      </w:r>
      <w:r w:rsidRPr="006108F9">
        <w:t>MOESD. 2016. Sustainability of the Pension System and recommendations for Reform. Tbilisi.</w:t>
      </w:r>
      <w:r>
        <w:t xml:space="preserve"> </w:t>
      </w:r>
    </w:p>
  </w:footnote>
  <w:footnote w:id="40">
    <w:p w14:paraId="3B4A4352" w14:textId="0462A1AD" w:rsidR="00D06F6A" w:rsidRDefault="00D06F6A" w:rsidP="00D06F6A">
      <w:pPr>
        <w:pStyle w:val="FootnoteText"/>
      </w:pPr>
      <w:r>
        <w:rPr>
          <w:rStyle w:val="FootnoteReference"/>
        </w:rPr>
        <w:footnoteRef/>
      </w:r>
      <w:r>
        <w:tab/>
      </w:r>
      <w:r w:rsidR="00925FFB">
        <w:t>These</w:t>
      </w:r>
      <w:r w:rsidRPr="008F628E">
        <w:t xml:space="preserve"> policy </w:t>
      </w:r>
      <w:r w:rsidR="00925FFB">
        <w:t>recommendations</w:t>
      </w:r>
      <w:r w:rsidRPr="008F628E">
        <w:t xml:space="preserve"> were accepted and adopted by Cabinet on 21 March 2016</w:t>
      </w:r>
    </w:p>
  </w:footnote>
  <w:footnote w:id="41">
    <w:p w14:paraId="2B0585B8" w14:textId="77777777" w:rsidR="00D06F6A" w:rsidRDefault="00D06F6A" w:rsidP="00D06F6A">
      <w:pPr>
        <w:pStyle w:val="FootnoteText"/>
      </w:pPr>
      <w:r>
        <w:rPr>
          <w:rStyle w:val="FootnoteReference"/>
        </w:rPr>
        <w:footnoteRef/>
      </w:r>
      <w:r>
        <w:tab/>
        <w:t xml:space="preserve">ADB. 2016. </w:t>
      </w:r>
      <w:r w:rsidRPr="3B262963">
        <w:rPr>
          <w:i/>
          <w:iCs/>
        </w:rPr>
        <w:t>Social Protection Index 2015</w:t>
      </w:r>
      <w:r>
        <w:t>. Manila</w:t>
      </w:r>
    </w:p>
  </w:footnote>
  <w:footnote w:id="42">
    <w:p w14:paraId="1325C579" w14:textId="5F3ACCA8" w:rsidR="00377DEC" w:rsidRDefault="00377DEC" w:rsidP="00377DEC">
      <w:pPr>
        <w:pStyle w:val="FootnoteText"/>
        <w:rPr>
          <w:rFonts w:asciiTheme="minorHAnsi" w:hAnsiTheme="minorHAnsi" w:cstheme="minorBidi"/>
          <w:color w:val="auto"/>
        </w:rPr>
      </w:pPr>
      <w:r>
        <w:rPr>
          <w:rStyle w:val="FootnoteReference"/>
        </w:rPr>
        <w:footnoteRef/>
      </w:r>
      <w:r w:rsidR="0028177B">
        <w:tab/>
      </w:r>
      <w:r w:rsidR="002036B1">
        <w:t>Geostat.</w:t>
      </w:r>
      <w:r>
        <w:t xml:space="preserve"> </w:t>
      </w:r>
      <w:hyperlink r:id="rId22" w:history="1">
        <w:r w:rsidRPr="002036B1">
          <w:rPr>
            <w:rStyle w:val="Hyperlink"/>
          </w:rPr>
          <w:t>Employment and Unemployment</w:t>
        </w:r>
      </w:hyperlink>
      <w:r w:rsidR="002036B1">
        <w:t xml:space="preserve"> (accessed </w:t>
      </w:r>
      <w:r w:rsidR="00853AA5">
        <w:t>27 August 2020)</w:t>
      </w:r>
    </w:p>
  </w:footnote>
  <w:footnote w:id="43">
    <w:p w14:paraId="2B1575F2" w14:textId="6DCA2A10" w:rsidR="00377DEC" w:rsidRDefault="00377DEC" w:rsidP="00377DEC">
      <w:pPr>
        <w:pStyle w:val="FootnoteText"/>
      </w:pPr>
      <w:r>
        <w:rPr>
          <w:rStyle w:val="FootnoteReference"/>
        </w:rPr>
        <w:footnoteRef/>
      </w:r>
      <w:r w:rsidR="0028177B">
        <w:tab/>
      </w:r>
      <w:r w:rsidR="00CA5AFF" w:rsidRPr="0003459D">
        <w:t>L</w:t>
      </w:r>
      <w:r w:rsidR="00CA5AFF">
        <w:t>.</w:t>
      </w:r>
      <w:r w:rsidR="00CA5AFF" w:rsidRPr="0003459D">
        <w:t xml:space="preserve"> Pavlenishvili</w:t>
      </w:r>
      <w:r w:rsidR="00CA5AFF">
        <w:t xml:space="preserve">. 2020. </w:t>
      </w:r>
      <w:hyperlink r:id="rId23" w:history="1">
        <w:r w:rsidR="00CA5AFF" w:rsidRPr="002A668E">
          <w:rPr>
            <w:rStyle w:val="Hyperlink"/>
            <w:i/>
            <w:iCs/>
          </w:rPr>
          <w:t>The Social Impacts of COVID-19</w:t>
        </w:r>
        <w:r w:rsidR="00CA5AFF">
          <w:rPr>
            <w:rStyle w:val="Hyperlink"/>
            <w:rFonts w:cs="Arial"/>
            <w:i/>
            <w:iCs/>
          </w:rPr>
          <w:t>—</w:t>
        </w:r>
        <w:r w:rsidR="00CA5AFF" w:rsidRPr="002A668E">
          <w:rPr>
            <w:rStyle w:val="Hyperlink"/>
            <w:i/>
            <w:iCs/>
          </w:rPr>
          <w:t>Case for a Universal Support Scheme?</w:t>
        </w:r>
      </w:hyperlink>
      <w:r w:rsidR="00CA5AFF">
        <w:t xml:space="preserve"> Tbilisi: International School of Economics at TSU Policy Institute.</w:t>
      </w:r>
    </w:p>
  </w:footnote>
  <w:footnote w:id="44">
    <w:p w14:paraId="72B74E8D" w14:textId="21527266" w:rsidR="000A03F5" w:rsidRDefault="000A03F5">
      <w:pPr>
        <w:pStyle w:val="FootnoteText"/>
      </w:pPr>
      <w:r>
        <w:rPr>
          <w:rStyle w:val="FootnoteReference"/>
        </w:rPr>
        <w:footnoteRef/>
      </w:r>
      <w:r>
        <w:t xml:space="preserve"> Geostat.</w:t>
      </w:r>
      <w:r w:rsidR="006E7A24">
        <w:t xml:space="preserve"> </w:t>
      </w:r>
      <w:hyperlink r:id="rId24" w:history="1">
        <w:r w:rsidR="006E7A24" w:rsidRPr="006E7A24">
          <w:rPr>
            <w:rStyle w:val="Hyperlink"/>
          </w:rPr>
          <w:t>Employment and</w:t>
        </w:r>
        <w:r w:rsidRPr="006E7A24">
          <w:rPr>
            <w:rStyle w:val="Hyperlink"/>
          </w:rPr>
          <w:t xml:space="preserve"> Unemployment</w:t>
        </w:r>
      </w:hyperlink>
      <w:r w:rsidR="006E7A24">
        <w:t xml:space="preserve">. (accessed 20 August 2020). </w:t>
      </w:r>
    </w:p>
  </w:footnote>
  <w:footnote w:id="45">
    <w:p w14:paraId="55C4B2B9" w14:textId="75CFDCAF" w:rsidR="00853AA5" w:rsidRDefault="00853AA5">
      <w:pPr>
        <w:pStyle w:val="FootnoteText"/>
      </w:pPr>
      <w:r>
        <w:rPr>
          <w:rStyle w:val="FootnoteReference"/>
        </w:rPr>
        <w:footnoteRef/>
      </w:r>
      <w:r w:rsidR="0028177B">
        <w:tab/>
      </w:r>
      <w:r w:rsidR="00474ADB">
        <w:t xml:space="preserve">Geostat. </w:t>
      </w:r>
      <w:hyperlink r:id="rId25" w:history="1">
        <w:r w:rsidR="00474ADB" w:rsidRPr="008D5B87">
          <w:rPr>
            <w:rStyle w:val="Hyperlink"/>
          </w:rPr>
          <w:t>Wages</w:t>
        </w:r>
      </w:hyperlink>
      <w:r w:rsidR="00474ADB">
        <w:t xml:space="preserve">. (accessed </w:t>
      </w:r>
      <w:r w:rsidR="006E7A24">
        <w:t>20</w:t>
      </w:r>
      <w:r w:rsidR="00474ADB">
        <w:t xml:space="preserve"> August 2020).</w:t>
      </w:r>
    </w:p>
  </w:footnote>
  <w:footnote w:id="46">
    <w:p w14:paraId="35BEB282" w14:textId="465C6539" w:rsidR="001227A1" w:rsidRDefault="001227A1" w:rsidP="001227A1">
      <w:pPr>
        <w:pStyle w:val="FootnoteText"/>
        <w:rPr>
          <w:rFonts w:asciiTheme="minorHAnsi" w:hAnsiTheme="minorHAnsi" w:cstheme="minorBidi"/>
        </w:rPr>
      </w:pPr>
      <w:r>
        <w:rPr>
          <w:rStyle w:val="FootnoteReference"/>
        </w:rPr>
        <w:footnoteRef/>
      </w:r>
      <w:r w:rsidR="0028177B">
        <w:tab/>
      </w:r>
      <w:r>
        <w:t>Government of Georgia (2020) ‘</w:t>
      </w:r>
      <w:hyperlink r:id="rId26" w:history="1">
        <w:r w:rsidRPr="00CA5AFF">
          <w:rPr>
            <w:rStyle w:val="Hyperlink"/>
          </w:rPr>
          <w:t>Giorgi Gakharia presented an Anti-</w:t>
        </w:r>
        <w:r w:rsidR="00BC2177">
          <w:rPr>
            <w:rStyle w:val="Hyperlink"/>
          </w:rPr>
          <w:t>C</w:t>
        </w:r>
        <w:r w:rsidRPr="00CA5AFF">
          <w:rPr>
            <w:rStyle w:val="Hyperlink"/>
          </w:rPr>
          <w:t>risis Economic Plan’</w:t>
        </w:r>
      </w:hyperlink>
      <w:r>
        <w:t>, (accessed 25 August 2020)</w:t>
      </w:r>
    </w:p>
  </w:footnote>
  <w:footnote w:id="47">
    <w:p w14:paraId="2F446507" w14:textId="236260B4" w:rsidR="00A34333" w:rsidRPr="00C23C51" w:rsidRDefault="00A34333">
      <w:pPr>
        <w:pStyle w:val="FootnoteText"/>
        <w:rPr>
          <w:sz w:val="17"/>
          <w:szCs w:val="17"/>
        </w:rPr>
      </w:pPr>
      <w:r>
        <w:rPr>
          <w:rStyle w:val="FootnoteReference"/>
        </w:rPr>
        <w:footnoteRef/>
      </w:r>
      <w:r w:rsidR="008202A7">
        <w:tab/>
      </w:r>
      <w:r w:rsidRPr="00C23C51">
        <w:rPr>
          <w:sz w:val="17"/>
          <w:szCs w:val="17"/>
        </w:rPr>
        <w:t>ADB. 2020</w:t>
      </w:r>
      <w:r w:rsidRPr="00C23C51">
        <w:rPr>
          <w:i/>
          <w:iCs/>
          <w:sz w:val="17"/>
          <w:szCs w:val="17"/>
        </w:rPr>
        <w:t>.</w:t>
      </w:r>
      <w:r w:rsidR="00371CA2" w:rsidRPr="00C23C51">
        <w:rPr>
          <w:i/>
          <w:iCs/>
          <w:sz w:val="17"/>
          <w:szCs w:val="17"/>
        </w:rPr>
        <w:t xml:space="preserve"> </w:t>
      </w:r>
      <w:hyperlink r:id="rId27" w:history="1">
        <w:r w:rsidRPr="00C23C51">
          <w:rPr>
            <w:rStyle w:val="Hyperlink"/>
            <w:i/>
            <w:iCs/>
            <w:sz w:val="17"/>
            <w:szCs w:val="17"/>
          </w:rPr>
          <w:t xml:space="preserve">Report and Recommendation of the President to the Board of Directors: </w:t>
        </w:r>
        <w:r w:rsidR="009A49E4" w:rsidRPr="00C23C51">
          <w:rPr>
            <w:rStyle w:val="Hyperlink"/>
            <w:i/>
            <w:iCs/>
            <w:sz w:val="17"/>
            <w:szCs w:val="17"/>
          </w:rPr>
          <w:t xml:space="preserve">Proposed Countercyclical </w:t>
        </w:r>
        <w:r w:rsidR="00AE50B4" w:rsidRPr="00C23C51">
          <w:rPr>
            <w:rStyle w:val="Hyperlink"/>
            <w:i/>
            <w:iCs/>
            <w:sz w:val="17"/>
            <w:szCs w:val="17"/>
          </w:rPr>
          <w:t>Support</w:t>
        </w:r>
        <w:r w:rsidR="00C40B79" w:rsidRPr="00C23C51">
          <w:rPr>
            <w:rStyle w:val="Hyperlink"/>
            <w:i/>
            <w:iCs/>
            <w:sz w:val="17"/>
            <w:szCs w:val="17"/>
          </w:rPr>
          <w:t xml:space="preserve"> </w:t>
        </w:r>
        <w:r w:rsidR="009A49E4" w:rsidRPr="00C23C51">
          <w:rPr>
            <w:rStyle w:val="Hyperlink"/>
            <w:i/>
            <w:iCs/>
            <w:sz w:val="17"/>
            <w:szCs w:val="17"/>
          </w:rPr>
          <w:t>Facility</w:t>
        </w:r>
        <w:r w:rsidR="00C40B79" w:rsidRPr="00C23C51">
          <w:rPr>
            <w:rStyle w:val="Hyperlink"/>
            <w:i/>
            <w:iCs/>
            <w:sz w:val="17"/>
            <w:szCs w:val="17"/>
          </w:rPr>
          <w:t xml:space="preserve"> Loan to Georgia for the</w:t>
        </w:r>
        <w:r w:rsidR="009A49E4" w:rsidRPr="00C23C51">
          <w:rPr>
            <w:rStyle w:val="Hyperlink"/>
            <w:i/>
            <w:iCs/>
            <w:sz w:val="17"/>
            <w:szCs w:val="17"/>
          </w:rPr>
          <w:t xml:space="preserve"> </w:t>
        </w:r>
        <w:r w:rsidRPr="00C23C51">
          <w:rPr>
            <w:rStyle w:val="Hyperlink"/>
            <w:i/>
            <w:iCs/>
            <w:sz w:val="17"/>
            <w:szCs w:val="17"/>
          </w:rPr>
          <w:t xml:space="preserve">COVID-19 Active Response and </w:t>
        </w:r>
        <w:r w:rsidR="006A351F" w:rsidRPr="00C23C51">
          <w:rPr>
            <w:rStyle w:val="Hyperlink"/>
            <w:i/>
            <w:iCs/>
            <w:sz w:val="17"/>
            <w:szCs w:val="17"/>
          </w:rPr>
          <w:t>Expenditure Support Program</w:t>
        </w:r>
      </w:hyperlink>
      <w:r w:rsidR="006A351F" w:rsidRPr="00C23C51">
        <w:rPr>
          <w:sz w:val="17"/>
          <w:szCs w:val="17"/>
        </w:rPr>
        <w:t xml:space="preserve">. Manila. </w:t>
      </w:r>
    </w:p>
  </w:footnote>
  <w:footnote w:id="48">
    <w:p w14:paraId="5020BF11" w14:textId="1C911818" w:rsidR="004341A3" w:rsidRPr="00C23C51" w:rsidRDefault="004341A3">
      <w:pPr>
        <w:pStyle w:val="FootnoteText"/>
        <w:rPr>
          <w:sz w:val="17"/>
          <w:szCs w:val="17"/>
        </w:rPr>
      </w:pPr>
      <w:r w:rsidRPr="00C23C51">
        <w:rPr>
          <w:rStyle w:val="FootnoteReference"/>
          <w:sz w:val="17"/>
          <w:szCs w:val="17"/>
        </w:rPr>
        <w:footnoteRef/>
      </w:r>
      <w:r w:rsidRPr="00C23C51">
        <w:rPr>
          <w:sz w:val="17"/>
          <w:szCs w:val="17"/>
        </w:rPr>
        <w:tab/>
        <w:t xml:space="preserve">ADB. 2014. </w:t>
      </w:r>
      <w:hyperlink r:id="rId28" w:history="1">
        <w:r w:rsidRPr="00C23C51">
          <w:rPr>
            <w:rStyle w:val="Hyperlink"/>
            <w:i/>
            <w:iCs/>
            <w:sz w:val="17"/>
            <w:szCs w:val="17"/>
          </w:rPr>
          <w:t>Report and Recommendation of the President to the Board of Directors: Proposed Programmatic Approach and Policy-Based Loans for Subprogram 1 to Georgia for the Improving Domestic Resource Mobilization for Inclusive Growth Program</w:t>
        </w:r>
      </w:hyperlink>
      <w:r w:rsidRPr="00C23C51">
        <w:rPr>
          <w:sz w:val="17"/>
          <w:szCs w:val="17"/>
        </w:rPr>
        <w:t>. Manila.</w:t>
      </w:r>
    </w:p>
  </w:footnote>
  <w:footnote w:id="49">
    <w:p w14:paraId="61F37E77" w14:textId="22D2A14F" w:rsidR="00316410" w:rsidRDefault="00316410" w:rsidP="00316410">
      <w:pPr>
        <w:pStyle w:val="FootnoteText"/>
        <w:ind w:left="180" w:hanging="180"/>
      </w:pPr>
      <w:r w:rsidRPr="00C23C51">
        <w:rPr>
          <w:rStyle w:val="FootnoteReference"/>
          <w:sz w:val="17"/>
          <w:szCs w:val="17"/>
        </w:rPr>
        <w:footnoteRef/>
      </w:r>
      <w:r w:rsidR="004341A3" w:rsidRPr="00C23C51">
        <w:rPr>
          <w:sz w:val="17"/>
          <w:szCs w:val="17"/>
        </w:rPr>
        <w:tab/>
      </w:r>
      <w:r w:rsidRPr="00C23C51">
        <w:rPr>
          <w:sz w:val="17"/>
          <w:szCs w:val="17"/>
        </w:rPr>
        <w:t xml:space="preserve">ADB. 2018. </w:t>
      </w:r>
      <w:hyperlink r:id="rId29" w:history="1">
        <w:r w:rsidRPr="00C23C51">
          <w:rPr>
            <w:rStyle w:val="Hyperlink"/>
            <w:i/>
            <w:iCs/>
            <w:sz w:val="17"/>
            <w:szCs w:val="17"/>
          </w:rPr>
          <w:t>Preparing the Second Domestic Resource Mobilization Program: Technical Assistance Report</w:t>
        </w:r>
      </w:hyperlink>
      <w:r w:rsidRPr="00C23C51">
        <w:rPr>
          <w:sz w:val="17"/>
          <w:szCs w:val="17"/>
        </w:rPr>
        <w:t>. Manila.</w:t>
      </w:r>
    </w:p>
  </w:footnote>
  <w:footnote w:id="50">
    <w:p w14:paraId="22A76E3D" w14:textId="77777777" w:rsidR="00C83B75" w:rsidRPr="00C23C51" w:rsidRDefault="00C83B75" w:rsidP="00C83B75">
      <w:pPr>
        <w:pStyle w:val="FootnoteText"/>
        <w:ind w:left="180" w:hanging="180"/>
        <w:rPr>
          <w:sz w:val="17"/>
          <w:szCs w:val="17"/>
          <w:lang w:val="en-PH"/>
        </w:rPr>
      </w:pPr>
      <w:r w:rsidRPr="00C23C51">
        <w:rPr>
          <w:rStyle w:val="FootnoteReference"/>
          <w:sz w:val="17"/>
          <w:szCs w:val="17"/>
        </w:rPr>
        <w:footnoteRef/>
      </w:r>
      <w:r w:rsidRPr="00C23C51">
        <w:rPr>
          <w:sz w:val="17"/>
          <w:szCs w:val="17"/>
        </w:rPr>
        <w:tab/>
        <w:t xml:space="preserve">ADB. 2020. </w:t>
      </w:r>
      <w:hyperlink r:id="rId30" w:history="1">
        <w:r w:rsidRPr="00C23C51">
          <w:rPr>
            <w:rStyle w:val="Hyperlink"/>
            <w:sz w:val="17"/>
            <w:szCs w:val="17"/>
            <w:lang w:val="en-PH"/>
          </w:rPr>
          <w:t>Regional Support to Address the Outbreak of Coronavirus Disease 2019 and Potential Outbreaks of Other Communicable Diseases</w:t>
        </w:r>
      </w:hyperlink>
      <w:r w:rsidRPr="00C23C51">
        <w:rPr>
          <w:sz w:val="17"/>
          <w:szCs w:val="17"/>
          <w:lang w:val="en-PH"/>
        </w:rPr>
        <w:t>: Technical Assistance Report. Manila.</w:t>
      </w:r>
    </w:p>
  </w:footnote>
  <w:footnote w:id="51">
    <w:p w14:paraId="364C1A9C" w14:textId="10CDC2F8" w:rsidR="00861023" w:rsidRPr="00C23C51" w:rsidRDefault="00861023">
      <w:pPr>
        <w:pStyle w:val="FootnoteText"/>
        <w:rPr>
          <w:sz w:val="17"/>
          <w:szCs w:val="17"/>
        </w:rPr>
      </w:pPr>
      <w:r>
        <w:rPr>
          <w:rStyle w:val="FootnoteReference"/>
        </w:rPr>
        <w:footnoteRef/>
      </w:r>
      <w:r w:rsidR="004341A3">
        <w:tab/>
      </w:r>
      <w:r w:rsidR="002350C4" w:rsidRPr="00C23C51">
        <w:rPr>
          <w:sz w:val="17"/>
          <w:szCs w:val="17"/>
        </w:rPr>
        <w:t>ADB. 201</w:t>
      </w:r>
      <w:r w:rsidR="00537495" w:rsidRPr="00C23C51">
        <w:rPr>
          <w:sz w:val="17"/>
          <w:szCs w:val="17"/>
        </w:rPr>
        <w:t>7</w:t>
      </w:r>
      <w:r w:rsidR="002350C4" w:rsidRPr="00C23C51">
        <w:rPr>
          <w:sz w:val="17"/>
          <w:szCs w:val="17"/>
        </w:rPr>
        <w:t>.</w:t>
      </w:r>
      <w:r w:rsidR="00F25949" w:rsidRPr="00C23C51">
        <w:rPr>
          <w:sz w:val="17"/>
          <w:szCs w:val="17"/>
        </w:rPr>
        <w:t xml:space="preserve"> </w:t>
      </w:r>
      <w:hyperlink r:id="rId31" w:history="1">
        <w:r w:rsidR="00F25949" w:rsidRPr="00C23C51">
          <w:rPr>
            <w:rStyle w:val="Hyperlink"/>
            <w:sz w:val="17"/>
            <w:szCs w:val="17"/>
          </w:rPr>
          <w:t>Improving Domestic Resource Mobilization for Inclusive Growth Program: Project Completion Report</w:t>
        </w:r>
      </w:hyperlink>
      <w:r w:rsidR="00F25949" w:rsidRPr="00C23C51">
        <w:rPr>
          <w:sz w:val="17"/>
          <w:szCs w:val="17"/>
        </w:rPr>
        <w:t>. Manila</w:t>
      </w:r>
      <w:r w:rsidR="002350C4" w:rsidRPr="00C23C51">
        <w:rPr>
          <w:sz w:val="17"/>
          <w:szCs w:val="17"/>
        </w:rPr>
        <w:t>.</w:t>
      </w:r>
    </w:p>
  </w:footnote>
  <w:footnote w:id="52">
    <w:p w14:paraId="19D240AC" w14:textId="3AE0CD32" w:rsidR="0038271B" w:rsidRPr="00C23C51" w:rsidRDefault="0038271B">
      <w:pPr>
        <w:pStyle w:val="FootnoteText"/>
        <w:rPr>
          <w:sz w:val="17"/>
          <w:szCs w:val="17"/>
        </w:rPr>
      </w:pPr>
      <w:r w:rsidRPr="00C23C51">
        <w:rPr>
          <w:rStyle w:val="FootnoteReference"/>
          <w:sz w:val="17"/>
          <w:szCs w:val="17"/>
        </w:rPr>
        <w:footnoteRef/>
      </w:r>
      <w:r w:rsidR="004341A3" w:rsidRPr="00C23C51">
        <w:rPr>
          <w:sz w:val="17"/>
          <w:szCs w:val="17"/>
        </w:rPr>
        <w:tab/>
      </w:r>
      <w:r w:rsidRPr="00C23C51">
        <w:rPr>
          <w:sz w:val="17"/>
          <w:szCs w:val="17"/>
        </w:rPr>
        <w:t xml:space="preserve">ADB. 2018. </w:t>
      </w:r>
      <w:hyperlink r:id="rId32" w:history="1">
        <w:r w:rsidRPr="00C23C51">
          <w:rPr>
            <w:rStyle w:val="Hyperlink"/>
            <w:sz w:val="17"/>
            <w:szCs w:val="17"/>
          </w:rPr>
          <w:t>Georgia</w:t>
        </w:r>
        <w:r w:rsidR="00880016" w:rsidRPr="00C23C51">
          <w:rPr>
            <w:rStyle w:val="Hyperlink"/>
            <w:sz w:val="17"/>
            <w:szCs w:val="17"/>
          </w:rPr>
          <w:t>: Improving Domestic Resource Mobilization for Inclusive Growth Program: Validation Report.</w:t>
        </w:r>
      </w:hyperlink>
      <w:r w:rsidR="00880016" w:rsidRPr="00C23C51">
        <w:rPr>
          <w:sz w:val="17"/>
          <w:szCs w:val="17"/>
        </w:rPr>
        <w:t xml:space="preserve"> Manila. </w:t>
      </w:r>
    </w:p>
  </w:footnote>
  <w:footnote w:id="53">
    <w:p w14:paraId="2EECE916" w14:textId="11CA4ACC" w:rsidR="00B03B1E" w:rsidRDefault="00B03B1E" w:rsidP="00B03B1E">
      <w:pPr>
        <w:pStyle w:val="FootnoteText"/>
        <w:ind w:hanging="180"/>
      </w:pPr>
      <w:r w:rsidRPr="00C23C51">
        <w:rPr>
          <w:rStyle w:val="FootnoteReference"/>
          <w:sz w:val="17"/>
          <w:szCs w:val="17"/>
        </w:rPr>
        <w:footnoteRef/>
      </w:r>
      <w:r w:rsidR="004341A3" w:rsidRPr="00C23C51">
        <w:rPr>
          <w:sz w:val="17"/>
          <w:szCs w:val="17"/>
        </w:rPr>
        <w:tab/>
      </w:r>
      <w:r w:rsidRPr="00C23C51">
        <w:rPr>
          <w:sz w:val="17"/>
          <w:szCs w:val="17"/>
        </w:rPr>
        <w:t xml:space="preserve">ADB. 2018. </w:t>
      </w:r>
      <w:hyperlink r:id="rId33" w:history="1">
        <w:r w:rsidRPr="00C23C51">
          <w:rPr>
            <w:rStyle w:val="Hyperlink"/>
            <w:i/>
            <w:iCs/>
            <w:sz w:val="17"/>
            <w:szCs w:val="17"/>
          </w:rPr>
          <w:t>Strategy 2030: Achieving a Prosperous, Inclusive, Resilient, and Sustainable Asia and the Pacific</w:t>
        </w:r>
      </w:hyperlink>
      <w:r w:rsidRPr="00C23C51">
        <w:rPr>
          <w:sz w:val="17"/>
          <w:szCs w:val="17"/>
        </w:rPr>
        <w:t>. Manila.</w:t>
      </w:r>
    </w:p>
  </w:footnote>
  <w:footnote w:id="54">
    <w:p w14:paraId="784C6900" w14:textId="73471214" w:rsidR="00D156D7" w:rsidRDefault="00D156D7">
      <w:pPr>
        <w:pStyle w:val="FootnoteText"/>
      </w:pPr>
      <w:r>
        <w:rPr>
          <w:rStyle w:val="FootnoteReference"/>
        </w:rPr>
        <w:footnoteRef/>
      </w:r>
      <w:r>
        <w:t xml:space="preserve"> Government of Georgia. </w:t>
      </w:r>
      <w:r w:rsidR="00FC7DDD">
        <w:t xml:space="preserve">2014. </w:t>
      </w:r>
      <w:hyperlink r:id="rId34" w:history="1">
        <w:r w:rsidR="00A7142A" w:rsidRPr="00A7142A">
          <w:rPr>
            <w:rStyle w:val="Hyperlink"/>
          </w:rPr>
          <w:t>Social-Economic Development Strategy of Georgia</w:t>
        </w:r>
      </w:hyperlink>
      <w:r w:rsidR="00A7142A">
        <w:t>. Tbilisi</w:t>
      </w:r>
    </w:p>
  </w:footnote>
  <w:footnote w:id="55">
    <w:p w14:paraId="3C5EC5BE" w14:textId="1024EFD4" w:rsidR="001E1F0A" w:rsidRDefault="001E1F0A">
      <w:pPr>
        <w:pStyle w:val="FootnoteText"/>
      </w:pPr>
      <w:r>
        <w:rPr>
          <w:rStyle w:val="FootnoteReference"/>
        </w:rPr>
        <w:footnoteRef/>
      </w:r>
      <w:r>
        <w:t xml:space="preserve"> Government of Georgia. 2018. </w:t>
      </w:r>
      <w:hyperlink r:id="rId35" w:history="1">
        <w:r w:rsidRPr="001E1F0A">
          <w:rPr>
            <w:rStyle w:val="Hyperlink"/>
          </w:rPr>
          <w:t>Public Financial Management Reform</w:t>
        </w:r>
        <w:r w:rsidR="002F0E78">
          <w:rPr>
            <w:rStyle w:val="Hyperlink"/>
          </w:rPr>
          <w:t xml:space="preserve"> Strategy to</w:t>
        </w:r>
        <w:r w:rsidRPr="001E1F0A">
          <w:rPr>
            <w:rStyle w:val="Hyperlink"/>
          </w:rPr>
          <w:t xml:space="preserve"> 2018-2021</w:t>
        </w:r>
      </w:hyperlink>
      <w:r>
        <w:t xml:space="preserve">. </w:t>
      </w:r>
      <w:r w:rsidR="002F0E78">
        <w:t>Tbilisi</w:t>
      </w:r>
    </w:p>
  </w:footnote>
  <w:footnote w:id="56">
    <w:p w14:paraId="44047DEF" w14:textId="7457930A" w:rsidR="00B020BE" w:rsidRDefault="00B020BE">
      <w:pPr>
        <w:pStyle w:val="FootnoteText"/>
      </w:pPr>
      <w:r>
        <w:rPr>
          <w:rStyle w:val="FootnoteReference"/>
        </w:rPr>
        <w:footnoteRef/>
      </w:r>
      <w:r>
        <w:t xml:space="preserve"> </w:t>
      </w:r>
      <w:r w:rsidRPr="00B020BE">
        <w:t xml:space="preserve">ADB </w:t>
      </w:r>
      <w:r>
        <w:t xml:space="preserve">coordinated closely with the IMF on public debt management and fiscal risk management support and with Agence Francaise </w:t>
      </w:r>
      <w:r w:rsidR="00B13B32">
        <w:t xml:space="preserve">de </w:t>
      </w:r>
      <w:r w:rsidRPr="00B020BE">
        <w:t>Développement</w:t>
      </w:r>
      <w:r w:rsidR="00B13B32">
        <w:t xml:space="preserve">, </w:t>
      </w:r>
      <w:r w:rsidRPr="00B020BE">
        <w:t>the World Bank</w:t>
      </w:r>
      <w:r w:rsidR="00B13B32">
        <w:t xml:space="preserve"> and the European on reform to the pension system</w:t>
      </w:r>
      <w:r w:rsidRPr="00B020BE">
        <w:t>.</w:t>
      </w:r>
    </w:p>
  </w:footnote>
  <w:footnote w:id="57">
    <w:p w14:paraId="31089444" w14:textId="6861CE1B" w:rsidR="00284F1C" w:rsidRDefault="00284F1C" w:rsidP="00284F1C">
      <w:pPr>
        <w:pStyle w:val="FootnoteText"/>
      </w:pPr>
      <w:r>
        <w:rPr>
          <w:rStyle w:val="FootnoteReference"/>
        </w:rPr>
        <w:footnoteRef/>
      </w:r>
      <w:r w:rsidR="008D7249">
        <w:tab/>
      </w:r>
      <w:r>
        <w:t>List of Ineligible Items (accessible from the list of linked documents in Appendix 2)</w:t>
      </w:r>
    </w:p>
  </w:footnote>
  <w:footnote w:id="58">
    <w:p w14:paraId="15BC4891" w14:textId="77777777" w:rsidR="00AC7546" w:rsidRDefault="00AC7546" w:rsidP="00AC7546">
      <w:pPr>
        <w:pStyle w:val="FootnoteText"/>
        <w:ind w:left="180" w:hanging="180"/>
      </w:pPr>
      <w:r>
        <w:rPr>
          <w:rStyle w:val="FootnoteReference"/>
        </w:rPr>
        <w:footnoteRef/>
      </w:r>
      <w:r>
        <w:tab/>
        <w:t xml:space="preserve">PEFA Secretariat. 2018. Georgia: </w:t>
      </w:r>
      <w:hyperlink r:id="rId36" w:history="1">
        <w:r w:rsidRPr="00247330">
          <w:rPr>
            <w:rStyle w:val="Hyperlink"/>
            <w:i/>
            <w:iCs/>
          </w:rPr>
          <w:t>Public Expenditure and Financial Accountability (PEFA) Assessment 2017</w:t>
        </w:r>
        <w:r w:rsidRPr="00247330">
          <w:rPr>
            <w:rStyle w:val="Hyperlink"/>
          </w:rPr>
          <w:t>.</w:t>
        </w:r>
      </w:hyperlink>
      <w:r>
        <w:t xml:space="preserve"> Washington DC: World Bank.</w:t>
      </w:r>
    </w:p>
  </w:footnote>
  <w:footnote w:id="59">
    <w:p w14:paraId="2FFAA095" w14:textId="695FCD9E" w:rsidR="00AA5A88" w:rsidRDefault="00AA5A88">
      <w:pPr>
        <w:pStyle w:val="FootnoteText"/>
      </w:pPr>
      <w:r>
        <w:rPr>
          <w:rStyle w:val="FootnoteReference"/>
        </w:rPr>
        <w:footnoteRef/>
      </w:r>
      <w:r w:rsidR="00C428CF">
        <w:tab/>
      </w:r>
      <w:r w:rsidRPr="00AA5A88">
        <w:t xml:space="preserve">Geostat. </w:t>
      </w:r>
      <w:hyperlink r:id="rId37" w:history="1">
        <w:r w:rsidRPr="00692883">
          <w:rPr>
            <w:rStyle w:val="Hyperlink"/>
          </w:rPr>
          <w:t>Living Conditions</w:t>
        </w:r>
      </w:hyperlink>
      <w:r w:rsidRPr="00AA5A88">
        <w:t xml:space="preserve">.  (accessed 14 </w:t>
      </w:r>
      <w:r>
        <w:t>August</w:t>
      </w:r>
      <w:r w:rsidRPr="00AA5A88">
        <w:t xml:space="preserve"> 2020).</w:t>
      </w:r>
    </w:p>
  </w:footnote>
  <w:footnote w:id="60">
    <w:p w14:paraId="2DD666F8" w14:textId="5D4E3CD8" w:rsidR="006B3366" w:rsidRDefault="006B3366">
      <w:pPr>
        <w:pStyle w:val="FootnoteText"/>
      </w:pPr>
      <w:r>
        <w:rPr>
          <w:rStyle w:val="FootnoteReference"/>
        </w:rPr>
        <w:footnoteRef/>
      </w:r>
      <w:r w:rsidR="0017380D">
        <w:tab/>
      </w:r>
      <w:r w:rsidR="009803D2">
        <w:t xml:space="preserve">ADB Staff </w:t>
      </w:r>
      <w:r w:rsidR="00D8044B">
        <w:t xml:space="preserve">updated </w:t>
      </w:r>
      <w:r w:rsidR="009803D2">
        <w:t xml:space="preserve">estimates </w:t>
      </w:r>
      <w:r w:rsidR="00134A1D">
        <w:t>assuming t</w:t>
      </w:r>
      <w:r w:rsidR="00134A1D" w:rsidRPr="00134A1D">
        <w:t xml:space="preserve">he average income/consumption decline </w:t>
      </w:r>
      <w:r w:rsidR="00D8044B">
        <w:t xml:space="preserve">of </w:t>
      </w:r>
      <w:r w:rsidR="00134A1D" w:rsidRPr="00134A1D">
        <w:t xml:space="preserve">26.6%. </w:t>
      </w:r>
      <w:r w:rsidR="00134A1D" w:rsidRPr="00376ACF">
        <w:t>ADB. 2020. COVID-19 and Poverty: Some Scenarios Based on Grouped Distribution Data on Household Consumption. Manila.</w:t>
      </w:r>
    </w:p>
  </w:footnote>
  <w:footnote w:id="61">
    <w:p w14:paraId="0B85FA60" w14:textId="04256A94" w:rsidR="00C0283E" w:rsidRDefault="00C0283E" w:rsidP="00C0283E">
      <w:pPr>
        <w:pStyle w:val="FootnoteText"/>
        <w:ind w:left="180" w:hanging="194"/>
      </w:pPr>
      <w:r>
        <w:rPr>
          <w:rStyle w:val="FootnoteReference"/>
        </w:rPr>
        <w:footnoteRef/>
      </w:r>
      <w:r w:rsidR="006D2E3F">
        <w:tab/>
      </w:r>
      <w:r>
        <w:t>Risk Assessment and Risk Management Plan (accessible from the list of linked documents in Appendix 2).</w:t>
      </w:r>
    </w:p>
  </w:footnote>
  <w:footnote w:id="62">
    <w:p w14:paraId="4F728A50" w14:textId="5C9A9D12" w:rsidR="00840033" w:rsidRDefault="00840033">
      <w:pPr>
        <w:pStyle w:val="FootnoteText"/>
      </w:pPr>
      <w:r>
        <w:rPr>
          <w:rStyle w:val="FootnoteReference"/>
        </w:rPr>
        <w:footnoteRef/>
      </w:r>
      <w:r>
        <w:t xml:space="preserve"> </w:t>
      </w:r>
      <w:r w:rsidRPr="00840033">
        <w:t>The IMF confirmed on {date of confirmation} that the attached {relevant document} may serve as the IMF assessment letter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2A892" w14:textId="77777777" w:rsidR="00A60AB3" w:rsidRDefault="00A60AB3">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A0336" w14:textId="77777777" w:rsidR="00B01066" w:rsidRPr="00572310" w:rsidRDefault="00B01066" w:rsidP="00DA11CF">
    <w:pPr>
      <w:pStyle w:val="Header"/>
      <w:jc w:val="left"/>
      <w:rPr>
        <w:sz w:val="18"/>
        <w:szCs w:val="18"/>
      </w:rPr>
    </w:pPr>
    <w:r>
      <w:fldChar w:fldCharType="begin"/>
    </w:r>
    <w:r>
      <w:instrText xml:space="preserve"> PAGE   \* MERGEFORMAT </w:instrText>
    </w:r>
    <w:r>
      <w:fldChar w:fldCharType="separate"/>
    </w:r>
    <w:r w:rsidR="004A1498">
      <w:rPr>
        <w:noProof/>
      </w:rPr>
      <w:t>16</w:t>
    </w:r>
    <w:r>
      <w:rPr>
        <w:noProof/>
      </w:rPr>
      <w:fldChar w:fldCharType="end"/>
    </w:r>
    <w:r>
      <w:rPr>
        <w:noProof/>
      </w:rPr>
      <w:tab/>
    </w:r>
    <w:r w:rsidRPr="00572310">
      <w:rPr>
        <w:noProof/>
        <w:sz w:val="18"/>
        <w:szCs w:val="18"/>
      </w:rPr>
      <w:t>Appendix 1</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90E39" w14:textId="77777777" w:rsidR="00B01066" w:rsidRDefault="00B01066" w:rsidP="00D53AA7">
    <w:pPr>
      <w:pStyle w:val="Header"/>
      <w:tabs>
        <w:tab w:val="left" w:pos="7740"/>
        <w:tab w:val="right" w:pos="9360"/>
      </w:tabs>
    </w:pPr>
    <w:r>
      <w:tab/>
    </w:r>
    <w:r>
      <w:rPr>
        <w:sz w:val="18"/>
      </w:rPr>
      <w:t>Appendix 1</w:t>
    </w:r>
    <w:r>
      <w:tab/>
    </w:r>
    <w:r>
      <w:fldChar w:fldCharType="begin"/>
    </w:r>
    <w:r>
      <w:instrText xml:space="preserve"> PAGE </w:instrText>
    </w:r>
    <w:r>
      <w:fldChar w:fldCharType="separate"/>
    </w:r>
    <w:r w:rsidR="004A1498">
      <w:rPr>
        <w:noProof/>
      </w:rPr>
      <w:t>17</w:t>
    </w:r>
    <w:r>
      <w:fldChar w:fldCharType="end"/>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2EA29" w14:textId="6B511D4C" w:rsidR="00B01066" w:rsidRDefault="00B01066" w:rsidP="00395C09">
    <w:r>
      <w:fldChar w:fldCharType="begin"/>
    </w:r>
    <w:r>
      <w:instrText xml:space="preserve"> PAGE   \* MERGEFORMAT </w:instrText>
    </w:r>
    <w:r>
      <w:fldChar w:fldCharType="separate"/>
    </w:r>
    <w:r w:rsidR="004A1498">
      <w:rPr>
        <w:noProof/>
      </w:rPr>
      <w:t>20</w:t>
    </w:r>
    <w:r>
      <w:rPr>
        <w:noProof/>
      </w:rPr>
      <w:fldChar w:fldCharType="end"/>
    </w:r>
    <w:r>
      <w:tab/>
    </w:r>
    <w:r w:rsidRPr="00395C09">
      <w:rPr>
        <w:sz w:val="18"/>
        <w:szCs w:val="18"/>
      </w:rPr>
      <w:t xml:space="preserve">Appendix </w:t>
    </w:r>
    <w:r>
      <w:rPr>
        <w:sz w:val="18"/>
        <w:szCs w:val="18"/>
      </w:rPr>
      <w:t>2</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B1B05" w14:textId="317A9F1A" w:rsidR="00B01066" w:rsidRDefault="00B01066" w:rsidP="00D53AA7">
    <w:pPr>
      <w:pStyle w:val="Header"/>
      <w:tabs>
        <w:tab w:val="left" w:pos="7740"/>
        <w:tab w:val="right" w:pos="9360"/>
      </w:tabs>
    </w:pPr>
    <w:r>
      <w:tab/>
    </w:r>
    <w:r>
      <w:rPr>
        <w:sz w:val="18"/>
      </w:rPr>
      <w:t>Appendix 2</w:t>
    </w:r>
    <w:r>
      <w:tab/>
    </w:r>
    <w:r>
      <w:fldChar w:fldCharType="begin"/>
    </w:r>
    <w:r>
      <w:instrText xml:space="preserve"> PAGE </w:instrText>
    </w:r>
    <w:r>
      <w:fldChar w:fldCharType="separate"/>
    </w:r>
    <w:r>
      <w:rPr>
        <w:noProof/>
      </w:rPr>
      <w:t>5</w:t>
    </w:r>
    <w:r>
      <w:fldChar w:fldCharType="end"/>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CE65E" w14:textId="02E807CB" w:rsidR="00B01066" w:rsidRDefault="00B01066" w:rsidP="00395C09">
    <w:r>
      <w:fldChar w:fldCharType="begin"/>
    </w:r>
    <w:r>
      <w:instrText xml:space="preserve"> PAGE   \* MERGEFORMAT </w:instrText>
    </w:r>
    <w:r>
      <w:fldChar w:fldCharType="separate"/>
    </w:r>
    <w:r>
      <w:rPr>
        <w:noProof/>
      </w:rPr>
      <w:t>8</w:t>
    </w:r>
    <w:r>
      <w:rPr>
        <w:noProof/>
      </w:rPr>
      <w:fldChar w:fldCharType="end"/>
    </w:r>
    <w:r>
      <w:tab/>
    </w:r>
    <w:r w:rsidRPr="00395C09">
      <w:rPr>
        <w:sz w:val="18"/>
        <w:szCs w:val="18"/>
      </w:rPr>
      <w:t xml:space="preserve">Appendix </w:t>
    </w:r>
    <w:r>
      <w:rPr>
        <w:sz w:val="18"/>
        <w:szCs w:val="18"/>
      </w:rPr>
      <w:t>3</w: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EFC2E" w14:textId="56E19B31" w:rsidR="00B01066" w:rsidRDefault="00B01066" w:rsidP="00D53AA7">
    <w:pPr>
      <w:pStyle w:val="Header"/>
      <w:tabs>
        <w:tab w:val="left" w:pos="7740"/>
        <w:tab w:val="right" w:pos="9360"/>
      </w:tabs>
    </w:pPr>
    <w:r>
      <w:tab/>
    </w:r>
    <w:r>
      <w:rPr>
        <w:sz w:val="18"/>
      </w:rPr>
      <w:t>Appendix 3</w:t>
    </w:r>
    <w:r>
      <w:tab/>
    </w:r>
    <w:r>
      <w:fldChar w:fldCharType="begin"/>
    </w:r>
    <w:r>
      <w:instrText xml:space="preserve"> PAGE </w:instrText>
    </w:r>
    <w:r>
      <w:fldChar w:fldCharType="separate"/>
    </w:r>
    <w:r w:rsidR="004A1498">
      <w:rPr>
        <w:noProof/>
      </w:rPr>
      <w:t>21</w:t>
    </w:r>
    <w:r>
      <w:fldChar w:fldCharType="end"/>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AB6B8" w14:textId="5E21B06D" w:rsidR="00B01066" w:rsidRDefault="00B01066" w:rsidP="00395C09">
    <w:r>
      <w:fldChar w:fldCharType="begin"/>
    </w:r>
    <w:r>
      <w:instrText xml:space="preserve"> PAGE   \* MERGEFORMAT </w:instrText>
    </w:r>
    <w:r>
      <w:fldChar w:fldCharType="separate"/>
    </w:r>
    <w:r w:rsidR="004A1498">
      <w:rPr>
        <w:noProof/>
      </w:rPr>
      <w:t>36</w:t>
    </w:r>
    <w:r>
      <w:rPr>
        <w:noProof/>
      </w:rPr>
      <w:fldChar w:fldCharType="end"/>
    </w:r>
    <w:r>
      <w:tab/>
    </w:r>
    <w:r w:rsidRPr="00395C09">
      <w:rPr>
        <w:sz w:val="18"/>
        <w:szCs w:val="18"/>
      </w:rPr>
      <w:t xml:space="preserve">Appendix </w:t>
    </w:r>
    <w:r>
      <w:rPr>
        <w:sz w:val="18"/>
        <w:szCs w:val="18"/>
      </w:rPr>
      <w:t>4</w: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96126" w14:textId="2F41D7EB" w:rsidR="00B01066" w:rsidRDefault="00B01066" w:rsidP="00FD06E7">
    <w:pPr>
      <w:pStyle w:val="Header"/>
      <w:tabs>
        <w:tab w:val="left" w:pos="7740"/>
        <w:tab w:val="right" w:pos="9360"/>
      </w:tabs>
      <w:jc w:val="right"/>
    </w:pPr>
    <w:r>
      <w:tab/>
    </w:r>
    <w:r>
      <w:rPr>
        <w:sz w:val="18"/>
      </w:rPr>
      <w:t>Appendix 4</w:t>
    </w:r>
    <w:r>
      <w:tab/>
    </w:r>
    <w:r>
      <w:fldChar w:fldCharType="begin"/>
    </w:r>
    <w:r>
      <w:instrText xml:space="preserve"> PAGE </w:instrText>
    </w:r>
    <w:r>
      <w:fldChar w:fldCharType="separate"/>
    </w:r>
    <w:r w:rsidR="004A1498">
      <w:rPr>
        <w:noProof/>
      </w:rPr>
      <w:t>37</w:t>
    </w:r>
    <w: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A52D4" w14:textId="77777777" w:rsidR="00B01066" w:rsidRDefault="00B01066" w:rsidP="000241B1">
    <w:pPr>
      <w:pStyle w:val="Header"/>
      <w:ind w:right="-334"/>
      <w:jc w:val="right"/>
    </w:pPr>
    <w:r>
      <w:rPr>
        <w:noProof/>
      </w:rPr>
      <mc:AlternateContent>
        <mc:Choice Requires="wps">
          <w:drawing>
            <wp:anchor distT="0" distB="0" distL="114300" distR="114300" simplePos="0" relativeHeight="251658241" behindDoc="0" locked="0" layoutInCell="1" allowOverlap="1" wp14:anchorId="0AE0D166" wp14:editId="6DCDFC1C">
              <wp:simplePos x="0" y="0"/>
              <wp:positionH relativeFrom="column">
                <wp:posOffset>-15875</wp:posOffset>
              </wp:positionH>
              <wp:positionV relativeFrom="paragraph">
                <wp:posOffset>1511300</wp:posOffset>
              </wp:positionV>
              <wp:extent cx="6269990" cy="0"/>
              <wp:effectExtent l="12700" t="6350" r="13335" b="1270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99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11F44AF8">
            <v:line id="Line 2"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25pt" from="-1.25pt,119pt" to="492.45pt,119pt" w14:anchorId="53746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"/>
          </w:pict>
        </mc:Fallback>
      </mc:AlternateContent>
    </w:r>
    <w:r>
      <w:rPr>
        <w:noProof/>
      </w:rPr>
      <mc:AlternateContent>
        <mc:Choice Requires="wps">
          <w:drawing>
            <wp:anchor distT="0" distB="0" distL="114300" distR="114300" simplePos="0" relativeHeight="251658240" behindDoc="0" locked="0" layoutInCell="1" allowOverlap="1" wp14:anchorId="124DB802" wp14:editId="4A98E5B0">
              <wp:simplePos x="0" y="0"/>
              <wp:positionH relativeFrom="column">
                <wp:posOffset>-116205</wp:posOffset>
              </wp:positionH>
              <wp:positionV relativeFrom="paragraph">
                <wp:posOffset>831850</wp:posOffset>
              </wp:positionV>
              <wp:extent cx="6362065" cy="1040765"/>
              <wp:effectExtent l="0" t="3175" r="2540" b="38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065" cy="1040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144EE" w14:textId="77777777" w:rsidR="00B01066" w:rsidRDefault="00B01066">
                          <w:pPr>
                            <w:rPr>
                              <w:rFonts w:cs="Arial"/>
                              <w:sz w:val="40"/>
                              <w:szCs w:val="40"/>
                            </w:rPr>
                          </w:pPr>
                          <w:r>
                            <w:rPr>
                              <w:rFonts w:cs="Arial"/>
                              <w:sz w:val="40"/>
                              <w:szCs w:val="40"/>
                            </w:rPr>
                            <w:t xml:space="preserve">Report and Recommendation of the President </w:t>
                          </w:r>
                        </w:p>
                        <w:p w14:paraId="7DCE2723" w14:textId="77777777" w:rsidR="00B01066" w:rsidRDefault="00B01066" w:rsidP="007B6433">
                          <w:pPr>
                            <w:autoSpaceDE w:val="0"/>
                            <w:autoSpaceDN w:val="0"/>
                            <w:adjustRightInd w:val="0"/>
                            <w:rPr>
                              <w:rFonts w:ascii="MS Shell Dlg" w:hAnsi="MS Shell Dlg" w:cs="MS Shell Dlg"/>
                              <w:sz w:val="17"/>
                              <w:szCs w:val="17"/>
                            </w:rPr>
                          </w:pPr>
                          <w:r>
                            <w:rPr>
                              <w:rFonts w:cs="Arial"/>
                              <w:sz w:val="40"/>
                              <w:szCs w:val="40"/>
                            </w:rPr>
                            <w:t>to the Board of Directors</w:t>
                          </w:r>
                        </w:p>
                        <w:p w14:paraId="68C07142" w14:textId="77777777" w:rsidR="00B01066" w:rsidRPr="00113500" w:rsidRDefault="00B01066">
                          <w:pPr>
                            <w:rPr>
                              <w:rFonts w:cs="Arial"/>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24DB802" id="_x0000_t202" coordsize="21600,21600" o:spt="202" path="m,l,21600r21600,l21600,xe">
              <v:stroke joinstyle="miter"/>
              <v:path gradientshapeok="t" o:connecttype="rect"/>
            </v:shapetype>
            <v:shape id="Text Box 1" o:spid="_x0000_s1027" type="#_x0000_t202" style="position:absolute;left:0;text-align:left;margin-left:-9.15pt;margin-top:65.5pt;width:500.95pt;height:8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" filled="f" stroked="f">
              <v:textbox>
                <w:txbxContent>
                  <w:p w14:paraId="395144EE" w14:textId="77777777" w:rsidR="00B01066" w:rsidRDefault="00B01066">
                    <w:pPr>
                      <w:rPr>
                        <w:rFonts w:cs="Arial"/>
                        <w:sz w:val="40"/>
                        <w:szCs w:val="40"/>
                      </w:rPr>
                    </w:pPr>
                    <w:r>
                      <w:rPr>
                        <w:rFonts w:cs="Arial"/>
                        <w:sz w:val="40"/>
                        <w:szCs w:val="40"/>
                      </w:rPr>
                      <w:t xml:space="preserve">Report and Recommendation of the President </w:t>
                    </w:r>
                  </w:p>
                  <w:p w14:paraId="7DCE2723" w14:textId="77777777" w:rsidR="00B01066" w:rsidRDefault="00B01066" w:rsidP="007B6433">
                    <w:pPr>
                      <w:autoSpaceDE w:val="0"/>
                      <w:autoSpaceDN w:val="0"/>
                      <w:adjustRightInd w:val="0"/>
                      <w:rPr>
                        <w:rFonts w:ascii="MS Shell Dlg" w:hAnsi="MS Shell Dlg" w:cs="MS Shell Dlg"/>
                        <w:sz w:val="17"/>
                        <w:szCs w:val="17"/>
                      </w:rPr>
                    </w:pPr>
                    <w:r>
                      <w:rPr>
                        <w:rFonts w:cs="Arial"/>
                        <w:sz w:val="40"/>
                        <w:szCs w:val="40"/>
                      </w:rPr>
                      <w:t>to the Board of Directors</w:t>
                    </w:r>
                  </w:p>
                  <w:p w14:paraId="68C07142" w14:textId="77777777" w:rsidR="00B01066" w:rsidRPr="00113500" w:rsidRDefault="00B01066">
                    <w:pPr>
                      <w:rPr>
                        <w:rFonts w:cs="Arial"/>
                        <w:sz w:val="40"/>
                        <w:szCs w:val="40"/>
                      </w:rPr>
                    </w:pPr>
                  </w:p>
                </w:txbxContent>
              </v:textbox>
            </v:shape>
          </w:pict>
        </mc:Fallback>
      </mc:AlternateContent>
    </w:r>
    <w:r>
      <w:rPr>
        <w:noProof/>
      </w:rPr>
      <w:drawing>
        <wp:anchor distT="0" distB="0" distL="114300" distR="114300" simplePos="0" relativeHeight="251658242" behindDoc="1" locked="0" layoutInCell="1" allowOverlap="1" wp14:anchorId="66B07D48" wp14:editId="1BC32606">
          <wp:simplePos x="0" y="0"/>
          <wp:positionH relativeFrom="column">
            <wp:posOffset>-25400</wp:posOffset>
          </wp:positionH>
          <wp:positionV relativeFrom="paragraph">
            <wp:posOffset>-25400</wp:posOffset>
          </wp:positionV>
          <wp:extent cx="787400" cy="787400"/>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787400" cy="78740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4F913" w14:textId="77777777" w:rsidR="00A60AB3" w:rsidRDefault="00A60AB3">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DBAF9" w14:textId="77777777" w:rsidR="00B01066" w:rsidRDefault="00B01066" w:rsidP="00603F0E">
    <w:pPr>
      <w:pStyle w:val="Header"/>
      <w:ind w:right="-33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C146C" w14:textId="77777777" w:rsidR="00B01066" w:rsidRDefault="00B01066">
    <w:pPr>
      <w:pStyle w:val="Header"/>
      <w:jc w:val="righ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6138A" w14:textId="77777777" w:rsidR="00B01066" w:rsidRDefault="00B01066">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931BF" w14:textId="7467E4D4" w:rsidR="00B01066" w:rsidRDefault="000538DD" w:rsidP="006E3044">
    <w:pPr>
      <w:pStyle w:val="Header"/>
      <w:jc w:val="left"/>
    </w:pPr>
    <w:r>
      <w:fldChar w:fldCharType="begin"/>
    </w:r>
    <w:r>
      <w:instrText xml:space="preserve"> PAGE   \* MERGEFORMAT </w:instrText>
    </w:r>
    <w:r>
      <w:fldChar w:fldCharType="separate"/>
    </w:r>
    <w:r w:rsidR="008F6BCA">
      <w:rPr>
        <w:noProof/>
      </w:rPr>
      <w:t>6</w:t>
    </w:r>
    <w:r>
      <w:rPr>
        <w:noProof/>
      </w:rPr>
      <w:fldChar w:fldCharType="end"/>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1ACAD" w14:textId="50525AFF" w:rsidR="00B01066" w:rsidRDefault="000538DD" w:rsidP="000538DD">
    <w:pPr>
      <w:pStyle w:val="Header"/>
      <w:tabs>
        <w:tab w:val="left" w:pos="7740"/>
        <w:tab w:val="left" w:pos="8460"/>
        <w:tab w:val="right" w:pos="9360"/>
      </w:tabs>
      <w:ind w:firstLine="360"/>
      <w:jc w:val="right"/>
    </w:pPr>
    <w:r>
      <w:fldChar w:fldCharType="begin"/>
    </w:r>
    <w:r>
      <w:instrText xml:space="preserve"> PAGE   \* MERGEFORMAT </w:instrText>
    </w:r>
    <w:r>
      <w:fldChar w:fldCharType="separate"/>
    </w:r>
    <w:r w:rsidR="008F6BCA">
      <w:rPr>
        <w:noProof/>
      </w:rPr>
      <w:t>7</w:t>
    </w:r>
    <w:r>
      <w:rPr>
        <w:noProof/>
      </w:rPr>
      <w:fldChar w:fldCharType="end"/>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2B130" w14:textId="77777777" w:rsidR="00B01066" w:rsidRDefault="00B01066" w:rsidP="006E3044">
    <w:pPr>
      <w:pStyle w:val="Header"/>
      <w:ind w:right="360" w:firstLine="36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84D691BA"/>
    <w:lvl w:ilvl="0">
      <w:start w:val="1"/>
      <w:numFmt w:val="upperRoman"/>
      <w:pStyle w:val="Heading1"/>
      <w:lvlText w:val="%1."/>
      <w:legacy w:legacy="1" w:legacySpace="0" w:legacyIndent="720"/>
      <w:lvlJc w:val="left"/>
      <w:pPr>
        <w:ind w:left="3960" w:hanging="720"/>
      </w:pPr>
      <w:rPr>
        <w:rFonts w:cs="Times New Roman"/>
        <w:color w:val="auto"/>
      </w:rPr>
    </w:lvl>
    <w:lvl w:ilvl="1">
      <w:start w:val="1"/>
      <w:numFmt w:val="upperLetter"/>
      <w:pStyle w:val="Heading2"/>
      <w:lvlText w:val="%2."/>
      <w:legacy w:legacy="1" w:legacySpace="0" w:legacyIndent="720"/>
      <w:lvlJc w:val="left"/>
      <w:pPr>
        <w:ind w:left="4410" w:hanging="720"/>
      </w:pPr>
      <w:rPr>
        <w:rFonts w:cs="Times New Roman"/>
        <w:b/>
        <w:bCs w:val="0"/>
        <w:color w:val="auto"/>
      </w:rPr>
    </w:lvl>
    <w:lvl w:ilvl="2">
      <w:start w:val="1"/>
      <w:numFmt w:val="decimal"/>
      <w:pStyle w:val="Heading3"/>
      <w:lvlText w:val="%3."/>
      <w:legacy w:legacy="1" w:legacySpace="0" w:legacyIndent="720"/>
      <w:lvlJc w:val="left"/>
      <w:pPr>
        <w:ind w:left="810" w:hanging="720"/>
      </w:pPr>
      <w:rPr>
        <w:rFonts w:cs="Times New Roman"/>
        <w:b/>
      </w:rPr>
    </w:lvl>
    <w:lvl w:ilvl="3">
      <w:start w:val="1"/>
      <w:numFmt w:val="lowerLetter"/>
      <w:pStyle w:val="Heading4"/>
      <w:lvlText w:val="%4."/>
      <w:legacy w:legacy="1" w:legacySpace="0" w:legacyIndent="720"/>
      <w:lvlJc w:val="left"/>
      <w:pPr>
        <w:ind w:left="5400" w:hanging="720"/>
      </w:pPr>
      <w:rPr>
        <w:rFonts w:cs="Times New Roman"/>
      </w:rPr>
    </w:lvl>
    <w:lvl w:ilvl="4">
      <w:start w:val="1"/>
      <w:numFmt w:val="lowerRoman"/>
      <w:pStyle w:val="Heading5"/>
      <w:lvlText w:val="%5."/>
      <w:legacy w:legacy="1" w:legacySpace="0" w:legacyIndent="720"/>
      <w:lvlJc w:val="left"/>
      <w:pPr>
        <w:ind w:left="6120" w:hanging="720"/>
      </w:pPr>
      <w:rPr>
        <w:rFonts w:cs="Times New Roman"/>
      </w:rPr>
    </w:lvl>
    <w:lvl w:ilvl="5">
      <w:start w:val="1"/>
      <w:numFmt w:val="none"/>
      <w:pStyle w:val="Heading6"/>
      <w:suff w:val="nothing"/>
      <w:lvlText w:val=""/>
      <w:lvlJc w:val="left"/>
      <w:pPr>
        <w:ind w:left="7560" w:hanging="720"/>
      </w:pPr>
      <w:rPr>
        <w:rFonts w:cs="Times New Roman"/>
      </w:rPr>
    </w:lvl>
    <w:lvl w:ilvl="6">
      <w:start w:val="1"/>
      <w:numFmt w:val="none"/>
      <w:pStyle w:val="Heading7"/>
      <w:suff w:val="nothing"/>
      <w:lvlText w:val=""/>
      <w:lvlJc w:val="left"/>
      <w:pPr>
        <w:ind w:left="8280" w:hanging="720"/>
      </w:pPr>
      <w:rPr>
        <w:rFonts w:cs="Times New Roman"/>
      </w:rPr>
    </w:lvl>
    <w:lvl w:ilvl="7">
      <w:start w:val="1"/>
      <w:numFmt w:val="none"/>
      <w:pStyle w:val="Heading8"/>
      <w:suff w:val="nothing"/>
      <w:lvlText w:val=""/>
      <w:lvlJc w:val="left"/>
      <w:pPr>
        <w:ind w:left="9000" w:hanging="720"/>
      </w:pPr>
      <w:rPr>
        <w:rFonts w:cs="Times New Roman"/>
      </w:rPr>
    </w:lvl>
    <w:lvl w:ilvl="8">
      <w:start w:val="1"/>
      <w:numFmt w:val="none"/>
      <w:pStyle w:val="Heading9"/>
      <w:suff w:val="nothing"/>
      <w:lvlText w:val=""/>
      <w:lvlJc w:val="left"/>
      <w:pPr>
        <w:ind w:left="9720" w:hanging="720"/>
      </w:pPr>
      <w:rPr>
        <w:rFonts w:cs="Times New Roman"/>
      </w:rPr>
    </w:lvl>
  </w:abstractNum>
  <w:abstractNum w:abstractNumId="1" w15:restartNumberingAfterBreak="0">
    <w:nsid w:val="028D7F19"/>
    <w:multiLevelType w:val="hybridMultilevel"/>
    <w:tmpl w:val="6F0C8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CE71FB"/>
    <w:multiLevelType w:val="hybridMultilevel"/>
    <w:tmpl w:val="B18022F2"/>
    <w:lvl w:ilvl="0" w:tplc="E0F6C670">
      <w:start w:val="1"/>
      <w:numFmt w:val="decimal"/>
      <w:lvlText w:val="%1."/>
      <w:lvlJc w:val="left"/>
      <w:pPr>
        <w:ind w:left="0" w:firstLine="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1334AA"/>
    <w:multiLevelType w:val="hybridMultilevel"/>
    <w:tmpl w:val="B3B2595A"/>
    <w:lvl w:ilvl="0" w:tplc="436A9664">
      <w:start w:val="3"/>
      <w:numFmt w:val="decimal"/>
      <w:lvlText w:val="%1."/>
      <w:lvlJc w:val="left"/>
      <w:pPr>
        <w:ind w:left="360" w:hanging="360"/>
      </w:pPr>
      <w:rPr>
        <w:rFonts w:cs="Times New Roman" w:hint="default"/>
        <w:b w:val="0"/>
        <w:bCs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B1E2A01"/>
    <w:multiLevelType w:val="hybridMultilevel"/>
    <w:tmpl w:val="3030F188"/>
    <w:lvl w:ilvl="0" w:tplc="0C42B242">
      <w:start w:val="1"/>
      <w:numFmt w:val="lowerRoman"/>
      <w:lvlText w:val="(%1)"/>
      <w:lvlJc w:val="left"/>
      <w:pPr>
        <w:ind w:left="1080" w:hanging="720"/>
      </w:pPr>
      <w:rPr>
        <w:rFonts w:cs="Aria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770B68"/>
    <w:multiLevelType w:val="hybridMultilevel"/>
    <w:tmpl w:val="5DA05200"/>
    <w:lvl w:ilvl="0" w:tplc="26B8D7B2">
      <w:start w:val="1"/>
      <w:numFmt w:val="lowerRoman"/>
      <w:lvlText w:val="(%1)"/>
      <w:lvlJc w:val="left"/>
      <w:pPr>
        <w:ind w:left="679" w:hanging="360"/>
      </w:pPr>
      <w:rPr>
        <w:rFonts w:ascii="Arial" w:eastAsiaTheme="minorEastAsia" w:hAnsi="Arial" w:cs="Arial" w:hint="default"/>
      </w:rPr>
    </w:lvl>
    <w:lvl w:ilvl="1" w:tplc="04090019" w:tentative="1">
      <w:start w:val="1"/>
      <w:numFmt w:val="lowerLetter"/>
      <w:lvlText w:val="%2."/>
      <w:lvlJc w:val="left"/>
      <w:pPr>
        <w:ind w:left="1759" w:hanging="360"/>
      </w:pPr>
    </w:lvl>
    <w:lvl w:ilvl="2" w:tplc="0409001B" w:tentative="1">
      <w:start w:val="1"/>
      <w:numFmt w:val="lowerRoman"/>
      <w:lvlText w:val="%3."/>
      <w:lvlJc w:val="right"/>
      <w:pPr>
        <w:ind w:left="2479" w:hanging="180"/>
      </w:pPr>
    </w:lvl>
    <w:lvl w:ilvl="3" w:tplc="0409000F" w:tentative="1">
      <w:start w:val="1"/>
      <w:numFmt w:val="decimal"/>
      <w:lvlText w:val="%4."/>
      <w:lvlJc w:val="left"/>
      <w:pPr>
        <w:ind w:left="3199" w:hanging="360"/>
      </w:pPr>
    </w:lvl>
    <w:lvl w:ilvl="4" w:tplc="04090019" w:tentative="1">
      <w:start w:val="1"/>
      <w:numFmt w:val="lowerLetter"/>
      <w:lvlText w:val="%5."/>
      <w:lvlJc w:val="left"/>
      <w:pPr>
        <w:ind w:left="3919" w:hanging="360"/>
      </w:pPr>
    </w:lvl>
    <w:lvl w:ilvl="5" w:tplc="0409001B" w:tentative="1">
      <w:start w:val="1"/>
      <w:numFmt w:val="lowerRoman"/>
      <w:lvlText w:val="%6."/>
      <w:lvlJc w:val="right"/>
      <w:pPr>
        <w:ind w:left="4639" w:hanging="180"/>
      </w:pPr>
    </w:lvl>
    <w:lvl w:ilvl="6" w:tplc="0409000F" w:tentative="1">
      <w:start w:val="1"/>
      <w:numFmt w:val="decimal"/>
      <w:lvlText w:val="%7."/>
      <w:lvlJc w:val="left"/>
      <w:pPr>
        <w:ind w:left="5359" w:hanging="360"/>
      </w:pPr>
    </w:lvl>
    <w:lvl w:ilvl="7" w:tplc="04090019" w:tentative="1">
      <w:start w:val="1"/>
      <w:numFmt w:val="lowerLetter"/>
      <w:lvlText w:val="%8."/>
      <w:lvlJc w:val="left"/>
      <w:pPr>
        <w:ind w:left="6079" w:hanging="360"/>
      </w:pPr>
    </w:lvl>
    <w:lvl w:ilvl="8" w:tplc="0409001B" w:tentative="1">
      <w:start w:val="1"/>
      <w:numFmt w:val="lowerRoman"/>
      <w:lvlText w:val="%9."/>
      <w:lvlJc w:val="right"/>
      <w:pPr>
        <w:ind w:left="6799" w:hanging="180"/>
      </w:pPr>
    </w:lvl>
  </w:abstractNum>
  <w:abstractNum w:abstractNumId="6" w15:restartNumberingAfterBreak="0">
    <w:nsid w:val="0CB7745B"/>
    <w:multiLevelType w:val="hybridMultilevel"/>
    <w:tmpl w:val="57501826"/>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405745"/>
    <w:multiLevelType w:val="hybridMultilevel"/>
    <w:tmpl w:val="078E4A52"/>
    <w:lvl w:ilvl="0" w:tplc="29A2A8FA">
      <w:start w:val="12"/>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382039C"/>
    <w:multiLevelType w:val="hybridMultilevel"/>
    <w:tmpl w:val="6C9E5328"/>
    <w:lvl w:ilvl="0" w:tplc="95D0E450">
      <w:start w:val="1"/>
      <w:numFmt w:val="bullet"/>
      <w:lvlText w:val="%1."/>
      <w:lvlJc w:val="left"/>
      <w:pPr>
        <w:ind w:left="720" w:hanging="360"/>
      </w:pPr>
      <w:rPr>
        <w:rFonts w:ascii="Symbol" w:hAnsi="Symbol" w:hint="default"/>
      </w:rPr>
    </w:lvl>
    <w:lvl w:ilvl="1" w:tplc="918E8D34">
      <w:start w:val="1"/>
      <w:numFmt w:val="bullet"/>
      <w:lvlText w:val="o"/>
      <w:lvlJc w:val="left"/>
      <w:pPr>
        <w:ind w:left="1440" w:hanging="360"/>
      </w:pPr>
      <w:rPr>
        <w:rFonts w:ascii="Courier New" w:hAnsi="Courier New" w:hint="default"/>
      </w:rPr>
    </w:lvl>
    <w:lvl w:ilvl="2" w:tplc="72DA9A86">
      <w:start w:val="1"/>
      <w:numFmt w:val="bullet"/>
      <w:lvlText w:val=""/>
      <w:lvlJc w:val="left"/>
      <w:pPr>
        <w:ind w:left="2160" w:hanging="360"/>
      </w:pPr>
      <w:rPr>
        <w:rFonts w:ascii="Wingdings" w:hAnsi="Wingdings" w:hint="default"/>
      </w:rPr>
    </w:lvl>
    <w:lvl w:ilvl="3" w:tplc="95E4F80C">
      <w:start w:val="1"/>
      <w:numFmt w:val="bullet"/>
      <w:lvlText w:val=""/>
      <w:lvlJc w:val="left"/>
      <w:pPr>
        <w:ind w:left="2880" w:hanging="360"/>
      </w:pPr>
      <w:rPr>
        <w:rFonts w:ascii="Symbol" w:hAnsi="Symbol" w:hint="default"/>
      </w:rPr>
    </w:lvl>
    <w:lvl w:ilvl="4" w:tplc="7100AA1E">
      <w:start w:val="1"/>
      <w:numFmt w:val="bullet"/>
      <w:lvlText w:val="o"/>
      <w:lvlJc w:val="left"/>
      <w:pPr>
        <w:ind w:left="3600" w:hanging="360"/>
      </w:pPr>
      <w:rPr>
        <w:rFonts w:ascii="Courier New" w:hAnsi="Courier New" w:hint="default"/>
      </w:rPr>
    </w:lvl>
    <w:lvl w:ilvl="5" w:tplc="C9264FEA">
      <w:start w:val="1"/>
      <w:numFmt w:val="bullet"/>
      <w:lvlText w:val=""/>
      <w:lvlJc w:val="left"/>
      <w:pPr>
        <w:ind w:left="4320" w:hanging="360"/>
      </w:pPr>
      <w:rPr>
        <w:rFonts w:ascii="Wingdings" w:hAnsi="Wingdings" w:hint="default"/>
      </w:rPr>
    </w:lvl>
    <w:lvl w:ilvl="6" w:tplc="2D7ECA7E">
      <w:start w:val="1"/>
      <w:numFmt w:val="bullet"/>
      <w:lvlText w:val=""/>
      <w:lvlJc w:val="left"/>
      <w:pPr>
        <w:ind w:left="5040" w:hanging="360"/>
      </w:pPr>
      <w:rPr>
        <w:rFonts w:ascii="Symbol" w:hAnsi="Symbol" w:hint="default"/>
      </w:rPr>
    </w:lvl>
    <w:lvl w:ilvl="7" w:tplc="F4AA9D60">
      <w:start w:val="1"/>
      <w:numFmt w:val="bullet"/>
      <w:lvlText w:val="o"/>
      <w:lvlJc w:val="left"/>
      <w:pPr>
        <w:ind w:left="5760" w:hanging="360"/>
      </w:pPr>
      <w:rPr>
        <w:rFonts w:ascii="Courier New" w:hAnsi="Courier New" w:hint="default"/>
      </w:rPr>
    </w:lvl>
    <w:lvl w:ilvl="8" w:tplc="F78EC476">
      <w:start w:val="1"/>
      <w:numFmt w:val="bullet"/>
      <w:lvlText w:val=""/>
      <w:lvlJc w:val="left"/>
      <w:pPr>
        <w:ind w:left="6480" w:hanging="360"/>
      </w:pPr>
      <w:rPr>
        <w:rFonts w:ascii="Wingdings" w:hAnsi="Wingdings" w:hint="default"/>
      </w:rPr>
    </w:lvl>
  </w:abstractNum>
  <w:abstractNum w:abstractNumId="9" w15:restartNumberingAfterBreak="0">
    <w:nsid w:val="15A62B1D"/>
    <w:multiLevelType w:val="hybridMultilevel"/>
    <w:tmpl w:val="C302A7DC"/>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17E72FFC"/>
    <w:multiLevelType w:val="hybridMultilevel"/>
    <w:tmpl w:val="17F0972C"/>
    <w:lvl w:ilvl="0" w:tplc="DC92640C">
      <w:start w:val="1"/>
      <w:numFmt w:val="lowerRoman"/>
      <w:lvlText w:val="(%1)"/>
      <w:lvlJc w:val="left"/>
      <w:pPr>
        <w:ind w:left="1440" w:hanging="720"/>
      </w:pPr>
      <w:rPr>
        <w:rFonts w:ascii="Arial" w:hAnsi="Arial" w:hint="default"/>
        <w:b w:val="0"/>
        <w:i w:val="0"/>
        <w:caps w:val="0"/>
        <w:strike w:val="0"/>
        <w:dstrike w:val="0"/>
        <w:vanish w:val="0"/>
        <w:color w:val="FF0000"/>
        <w:sz w:val="18"/>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372393"/>
    <w:multiLevelType w:val="hybridMultilevel"/>
    <w:tmpl w:val="FD5C496E"/>
    <w:lvl w:ilvl="0" w:tplc="6D085D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A058CF"/>
    <w:multiLevelType w:val="hybridMultilevel"/>
    <w:tmpl w:val="9672FDB6"/>
    <w:lvl w:ilvl="0" w:tplc="D2988C90">
      <w:start w:val="1"/>
      <w:numFmt w:val="decimal"/>
      <w:lvlText w:val="%1."/>
      <w:lvlJc w:val="left"/>
      <w:pPr>
        <w:ind w:left="720" w:hanging="360"/>
      </w:pPr>
    </w:lvl>
    <w:lvl w:ilvl="1" w:tplc="0F9896B2">
      <w:start w:val="1"/>
      <w:numFmt w:val="lowerLetter"/>
      <w:lvlText w:val="%2."/>
      <w:lvlJc w:val="left"/>
      <w:pPr>
        <w:ind w:left="1440" w:hanging="360"/>
      </w:pPr>
    </w:lvl>
    <w:lvl w:ilvl="2" w:tplc="B148AA46">
      <w:start w:val="1"/>
      <w:numFmt w:val="lowerRoman"/>
      <w:lvlText w:val="%3."/>
      <w:lvlJc w:val="right"/>
      <w:pPr>
        <w:ind w:left="2160" w:hanging="180"/>
      </w:pPr>
    </w:lvl>
    <w:lvl w:ilvl="3" w:tplc="EB7C9DEC">
      <w:start w:val="1"/>
      <w:numFmt w:val="decimal"/>
      <w:lvlText w:val="%4."/>
      <w:lvlJc w:val="left"/>
      <w:pPr>
        <w:ind w:left="2880" w:hanging="360"/>
      </w:pPr>
    </w:lvl>
    <w:lvl w:ilvl="4" w:tplc="DAACB0CE">
      <w:start w:val="1"/>
      <w:numFmt w:val="lowerLetter"/>
      <w:lvlText w:val="%5."/>
      <w:lvlJc w:val="left"/>
      <w:pPr>
        <w:ind w:left="3600" w:hanging="360"/>
      </w:pPr>
    </w:lvl>
    <w:lvl w:ilvl="5" w:tplc="4C527B38">
      <w:start w:val="1"/>
      <w:numFmt w:val="lowerRoman"/>
      <w:lvlText w:val="%6."/>
      <w:lvlJc w:val="right"/>
      <w:pPr>
        <w:ind w:left="4320" w:hanging="180"/>
      </w:pPr>
    </w:lvl>
    <w:lvl w:ilvl="6" w:tplc="99EEB56C">
      <w:start w:val="1"/>
      <w:numFmt w:val="decimal"/>
      <w:lvlText w:val="%7."/>
      <w:lvlJc w:val="left"/>
      <w:pPr>
        <w:ind w:left="5040" w:hanging="360"/>
      </w:pPr>
    </w:lvl>
    <w:lvl w:ilvl="7" w:tplc="5DC48138">
      <w:start w:val="1"/>
      <w:numFmt w:val="lowerLetter"/>
      <w:lvlText w:val="%8."/>
      <w:lvlJc w:val="left"/>
      <w:pPr>
        <w:ind w:left="5760" w:hanging="360"/>
      </w:pPr>
    </w:lvl>
    <w:lvl w:ilvl="8" w:tplc="E21E5E14">
      <w:start w:val="1"/>
      <w:numFmt w:val="lowerRoman"/>
      <w:lvlText w:val="%9."/>
      <w:lvlJc w:val="right"/>
      <w:pPr>
        <w:ind w:left="6480" w:hanging="180"/>
      </w:pPr>
    </w:lvl>
  </w:abstractNum>
  <w:abstractNum w:abstractNumId="13" w15:restartNumberingAfterBreak="0">
    <w:nsid w:val="1D3062CA"/>
    <w:multiLevelType w:val="hybridMultilevel"/>
    <w:tmpl w:val="078E4A52"/>
    <w:lvl w:ilvl="0" w:tplc="29A2A8FA">
      <w:start w:val="12"/>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F496B37"/>
    <w:multiLevelType w:val="hybridMultilevel"/>
    <w:tmpl w:val="CA780EDA"/>
    <w:lvl w:ilvl="0" w:tplc="43FA411E">
      <w:start w:val="1"/>
      <w:numFmt w:val="decimal"/>
      <w:lvlText w:val="%1."/>
      <w:lvlJc w:val="left"/>
      <w:pPr>
        <w:ind w:left="720" w:hanging="360"/>
      </w:pPr>
    </w:lvl>
    <w:lvl w:ilvl="1" w:tplc="8904D9E4">
      <w:start w:val="1"/>
      <w:numFmt w:val="lowerLetter"/>
      <w:lvlText w:val="%2."/>
      <w:lvlJc w:val="left"/>
      <w:pPr>
        <w:ind w:left="1440" w:hanging="360"/>
      </w:pPr>
    </w:lvl>
    <w:lvl w:ilvl="2" w:tplc="A6A0C0E8">
      <w:start w:val="1"/>
      <w:numFmt w:val="lowerRoman"/>
      <w:lvlText w:val="%3."/>
      <w:lvlJc w:val="right"/>
      <w:pPr>
        <w:ind w:left="2160" w:hanging="180"/>
      </w:pPr>
    </w:lvl>
    <w:lvl w:ilvl="3" w:tplc="1ABC008A">
      <w:start w:val="1"/>
      <w:numFmt w:val="decimal"/>
      <w:lvlText w:val="%4."/>
      <w:lvlJc w:val="left"/>
      <w:pPr>
        <w:ind w:left="2880" w:hanging="360"/>
      </w:pPr>
    </w:lvl>
    <w:lvl w:ilvl="4" w:tplc="E7A8941E">
      <w:start w:val="1"/>
      <w:numFmt w:val="lowerLetter"/>
      <w:lvlText w:val="%5."/>
      <w:lvlJc w:val="left"/>
      <w:pPr>
        <w:ind w:left="3600" w:hanging="360"/>
      </w:pPr>
    </w:lvl>
    <w:lvl w:ilvl="5" w:tplc="C02622DC">
      <w:start w:val="1"/>
      <w:numFmt w:val="lowerRoman"/>
      <w:lvlText w:val="%6."/>
      <w:lvlJc w:val="right"/>
      <w:pPr>
        <w:ind w:left="4320" w:hanging="180"/>
      </w:pPr>
    </w:lvl>
    <w:lvl w:ilvl="6" w:tplc="BE4E2A00">
      <w:start w:val="1"/>
      <w:numFmt w:val="decimal"/>
      <w:lvlText w:val="%7."/>
      <w:lvlJc w:val="left"/>
      <w:pPr>
        <w:ind w:left="5040" w:hanging="360"/>
      </w:pPr>
    </w:lvl>
    <w:lvl w:ilvl="7" w:tplc="8C3C6B54">
      <w:start w:val="1"/>
      <w:numFmt w:val="lowerLetter"/>
      <w:lvlText w:val="%8."/>
      <w:lvlJc w:val="left"/>
      <w:pPr>
        <w:ind w:left="5760" w:hanging="360"/>
      </w:pPr>
    </w:lvl>
    <w:lvl w:ilvl="8" w:tplc="DEB6A9A2">
      <w:start w:val="1"/>
      <w:numFmt w:val="lowerRoman"/>
      <w:lvlText w:val="%9."/>
      <w:lvlJc w:val="right"/>
      <w:pPr>
        <w:ind w:left="6480" w:hanging="180"/>
      </w:pPr>
    </w:lvl>
  </w:abstractNum>
  <w:abstractNum w:abstractNumId="15" w15:restartNumberingAfterBreak="0">
    <w:nsid w:val="1F763A2B"/>
    <w:multiLevelType w:val="hybridMultilevel"/>
    <w:tmpl w:val="42F4D748"/>
    <w:lvl w:ilvl="0" w:tplc="DB68B0F6">
      <w:start w:val="1"/>
      <w:numFmt w:val="lowerRoman"/>
      <w:lvlText w:val="(%1)"/>
      <w:lvlJc w:val="right"/>
      <w:pPr>
        <w:ind w:left="1080" w:hanging="360"/>
      </w:pPr>
      <w:rPr>
        <w:rFonts w:ascii="Arial" w:hAnsi="Arial" w:cs="Arial" w:hint="default"/>
        <w:b w:val="0"/>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213F3112"/>
    <w:multiLevelType w:val="hybridMultilevel"/>
    <w:tmpl w:val="81F8810C"/>
    <w:lvl w:ilvl="0" w:tplc="418ABBB4">
      <w:start w:val="1"/>
      <w:numFmt w:val="lowerLetter"/>
      <w:lvlText w:val="%1."/>
      <w:lvlJc w:val="left"/>
      <w:pPr>
        <w:ind w:left="720" w:hanging="360"/>
      </w:pPr>
    </w:lvl>
    <w:lvl w:ilvl="1" w:tplc="63B6C634">
      <w:start w:val="1"/>
      <w:numFmt w:val="lowerLetter"/>
      <w:lvlText w:val="%2."/>
      <w:lvlJc w:val="left"/>
      <w:pPr>
        <w:ind w:left="1440" w:hanging="360"/>
      </w:pPr>
    </w:lvl>
    <w:lvl w:ilvl="2" w:tplc="3626B512">
      <w:start w:val="1"/>
      <w:numFmt w:val="lowerRoman"/>
      <w:lvlText w:val="%3."/>
      <w:lvlJc w:val="right"/>
      <w:pPr>
        <w:ind w:left="2160" w:hanging="180"/>
      </w:pPr>
    </w:lvl>
    <w:lvl w:ilvl="3" w:tplc="17D8FCFE">
      <w:start w:val="1"/>
      <w:numFmt w:val="decimal"/>
      <w:lvlText w:val="%4."/>
      <w:lvlJc w:val="left"/>
      <w:pPr>
        <w:ind w:left="2880" w:hanging="360"/>
      </w:pPr>
    </w:lvl>
    <w:lvl w:ilvl="4" w:tplc="3F62F106">
      <w:start w:val="1"/>
      <w:numFmt w:val="lowerLetter"/>
      <w:lvlText w:val="%5."/>
      <w:lvlJc w:val="left"/>
      <w:pPr>
        <w:ind w:left="3600" w:hanging="360"/>
      </w:pPr>
    </w:lvl>
    <w:lvl w:ilvl="5" w:tplc="275C372A">
      <w:start w:val="1"/>
      <w:numFmt w:val="lowerRoman"/>
      <w:lvlText w:val="%6."/>
      <w:lvlJc w:val="right"/>
      <w:pPr>
        <w:ind w:left="4320" w:hanging="180"/>
      </w:pPr>
    </w:lvl>
    <w:lvl w:ilvl="6" w:tplc="D00E313E">
      <w:start w:val="1"/>
      <w:numFmt w:val="decimal"/>
      <w:lvlText w:val="%7."/>
      <w:lvlJc w:val="left"/>
      <w:pPr>
        <w:ind w:left="5040" w:hanging="360"/>
      </w:pPr>
    </w:lvl>
    <w:lvl w:ilvl="7" w:tplc="8B50F316">
      <w:start w:val="1"/>
      <w:numFmt w:val="lowerLetter"/>
      <w:lvlText w:val="%8."/>
      <w:lvlJc w:val="left"/>
      <w:pPr>
        <w:ind w:left="5760" w:hanging="360"/>
      </w:pPr>
    </w:lvl>
    <w:lvl w:ilvl="8" w:tplc="1B0E3136">
      <w:start w:val="1"/>
      <w:numFmt w:val="lowerRoman"/>
      <w:lvlText w:val="%9."/>
      <w:lvlJc w:val="right"/>
      <w:pPr>
        <w:ind w:left="6480" w:hanging="180"/>
      </w:pPr>
    </w:lvl>
  </w:abstractNum>
  <w:abstractNum w:abstractNumId="17" w15:restartNumberingAfterBreak="0">
    <w:nsid w:val="21CE08F0"/>
    <w:multiLevelType w:val="hybridMultilevel"/>
    <w:tmpl w:val="2BD050BA"/>
    <w:lvl w:ilvl="0" w:tplc="5C4AE9A2">
      <w:start w:val="1"/>
      <w:numFmt w:val="lowerLetter"/>
      <w:lvlText w:val="%1."/>
      <w:lvlJc w:val="left"/>
      <w:pPr>
        <w:ind w:left="720" w:hanging="360"/>
      </w:pPr>
    </w:lvl>
    <w:lvl w:ilvl="1" w:tplc="6B9CD086">
      <w:start w:val="1"/>
      <w:numFmt w:val="lowerLetter"/>
      <w:lvlText w:val="%2."/>
      <w:lvlJc w:val="left"/>
      <w:pPr>
        <w:ind w:left="1440" w:hanging="360"/>
      </w:pPr>
    </w:lvl>
    <w:lvl w:ilvl="2" w:tplc="4EDC9E1A">
      <w:start w:val="1"/>
      <w:numFmt w:val="lowerRoman"/>
      <w:lvlText w:val="%3."/>
      <w:lvlJc w:val="right"/>
      <w:pPr>
        <w:ind w:left="2160" w:hanging="180"/>
      </w:pPr>
    </w:lvl>
    <w:lvl w:ilvl="3" w:tplc="E640B954">
      <w:start w:val="1"/>
      <w:numFmt w:val="decimal"/>
      <w:lvlText w:val="%4."/>
      <w:lvlJc w:val="left"/>
      <w:pPr>
        <w:ind w:left="2880" w:hanging="360"/>
      </w:pPr>
    </w:lvl>
    <w:lvl w:ilvl="4" w:tplc="64E41EF8">
      <w:start w:val="1"/>
      <w:numFmt w:val="lowerLetter"/>
      <w:lvlText w:val="%5."/>
      <w:lvlJc w:val="left"/>
      <w:pPr>
        <w:ind w:left="3600" w:hanging="360"/>
      </w:pPr>
    </w:lvl>
    <w:lvl w:ilvl="5" w:tplc="6CEE6410">
      <w:start w:val="1"/>
      <w:numFmt w:val="lowerRoman"/>
      <w:lvlText w:val="%6."/>
      <w:lvlJc w:val="right"/>
      <w:pPr>
        <w:ind w:left="4320" w:hanging="180"/>
      </w:pPr>
    </w:lvl>
    <w:lvl w:ilvl="6" w:tplc="2AF449FE">
      <w:start w:val="1"/>
      <w:numFmt w:val="decimal"/>
      <w:lvlText w:val="%7."/>
      <w:lvlJc w:val="left"/>
      <w:pPr>
        <w:ind w:left="5040" w:hanging="360"/>
      </w:pPr>
    </w:lvl>
    <w:lvl w:ilvl="7" w:tplc="08A032DA">
      <w:start w:val="1"/>
      <w:numFmt w:val="lowerLetter"/>
      <w:lvlText w:val="%8."/>
      <w:lvlJc w:val="left"/>
      <w:pPr>
        <w:ind w:left="5760" w:hanging="360"/>
      </w:pPr>
    </w:lvl>
    <w:lvl w:ilvl="8" w:tplc="54FCD4F4">
      <w:start w:val="1"/>
      <w:numFmt w:val="lowerRoman"/>
      <w:lvlText w:val="%9."/>
      <w:lvlJc w:val="right"/>
      <w:pPr>
        <w:ind w:left="6480" w:hanging="180"/>
      </w:pPr>
    </w:lvl>
  </w:abstractNum>
  <w:abstractNum w:abstractNumId="18" w15:restartNumberingAfterBreak="0">
    <w:nsid w:val="23036309"/>
    <w:multiLevelType w:val="multilevel"/>
    <w:tmpl w:val="B498AB4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48C3658"/>
    <w:multiLevelType w:val="hybridMultilevel"/>
    <w:tmpl w:val="042A0B4E"/>
    <w:lvl w:ilvl="0" w:tplc="79A0892C">
      <w:start w:val="15"/>
      <w:numFmt w:val="decimal"/>
      <w:lvlText w:val="%1."/>
      <w:lvlJc w:val="left"/>
      <w:pPr>
        <w:ind w:left="360" w:hanging="360"/>
      </w:pPr>
      <w:rPr>
        <w:rFonts w:ascii="Arial" w:hAnsi="Arial" w:cs="Arial" w:hint="default"/>
        <w:b w:val="0"/>
        <w:bCs w:val="0"/>
      </w:rPr>
    </w:lvl>
    <w:lvl w:ilvl="1" w:tplc="04090019">
      <w:start w:val="1"/>
      <w:numFmt w:val="lowerLetter"/>
      <w:lvlText w:val="%2."/>
      <w:lvlJc w:val="left"/>
      <w:pPr>
        <w:ind w:left="2852" w:hanging="360"/>
      </w:pPr>
    </w:lvl>
    <w:lvl w:ilvl="2" w:tplc="0409001B" w:tentative="1">
      <w:start w:val="1"/>
      <w:numFmt w:val="lowerRoman"/>
      <w:lvlText w:val="%3."/>
      <w:lvlJc w:val="right"/>
      <w:pPr>
        <w:ind w:left="3572" w:hanging="180"/>
      </w:pPr>
    </w:lvl>
    <w:lvl w:ilvl="3" w:tplc="0409000F" w:tentative="1">
      <w:start w:val="1"/>
      <w:numFmt w:val="decimal"/>
      <w:lvlText w:val="%4."/>
      <w:lvlJc w:val="left"/>
      <w:pPr>
        <w:ind w:left="4292" w:hanging="360"/>
      </w:pPr>
    </w:lvl>
    <w:lvl w:ilvl="4" w:tplc="04090019" w:tentative="1">
      <w:start w:val="1"/>
      <w:numFmt w:val="lowerLetter"/>
      <w:lvlText w:val="%5."/>
      <w:lvlJc w:val="left"/>
      <w:pPr>
        <w:ind w:left="5012" w:hanging="360"/>
      </w:pPr>
    </w:lvl>
    <w:lvl w:ilvl="5" w:tplc="0409001B" w:tentative="1">
      <w:start w:val="1"/>
      <w:numFmt w:val="lowerRoman"/>
      <w:lvlText w:val="%6."/>
      <w:lvlJc w:val="right"/>
      <w:pPr>
        <w:ind w:left="5732" w:hanging="180"/>
      </w:pPr>
    </w:lvl>
    <w:lvl w:ilvl="6" w:tplc="0409000F" w:tentative="1">
      <w:start w:val="1"/>
      <w:numFmt w:val="decimal"/>
      <w:lvlText w:val="%7."/>
      <w:lvlJc w:val="left"/>
      <w:pPr>
        <w:ind w:left="6452" w:hanging="360"/>
      </w:pPr>
    </w:lvl>
    <w:lvl w:ilvl="7" w:tplc="04090019" w:tentative="1">
      <w:start w:val="1"/>
      <w:numFmt w:val="lowerLetter"/>
      <w:lvlText w:val="%8."/>
      <w:lvlJc w:val="left"/>
      <w:pPr>
        <w:ind w:left="7172" w:hanging="360"/>
      </w:pPr>
    </w:lvl>
    <w:lvl w:ilvl="8" w:tplc="0409001B" w:tentative="1">
      <w:start w:val="1"/>
      <w:numFmt w:val="lowerRoman"/>
      <w:lvlText w:val="%9."/>
      <w:lvlJc w:val="right"/>
      <w:pPr>
        <w:ind w:left="7892" w:hanging="180"/>
      </w:pPr>
    </w:lvl>
  </w:abstractNum>
  <w:abstractNum w:abstractNumId="20" w15:restartNumberingAfterBreak="0">
    <w:nsid w:val="24D0720D"/>
    <w:multiLevelType w:val="hybridMultilevel"/>
    <w:tmpl w:val="C60C5286"/>
    <w:lvl w:ilvl="0" w:tplc="30440AB0">
      <w:start w:val="1"/>
      <w:numFmt w:val="lowerRoman"/>
      <w:lvlText w:val="(%1)"/>
      <w:lvlJc w:val="left"/>
      <w:pPr>
        <w:ind w:left="360" w:hanging="360"/>
      </w:pPr>
      <w:rPr>
        <w:rFonts w:ascii="Arial" w:hAnsi="Arial" w:hint="default"/>
        <w:b w:val="0"/>
        <w:i w:val="0"/>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55D0827"/>
    <w:multiLevelType w:val="hybridMultilevel"/>
    <w:tmpl w:val="269818E8"/>
    <w:lvl w:ilvl="0" w:tplc="EA460576">
      <w:start w:val="1"/>
      <w:numFmt w:val="lowerRoman"/>
      <w:lvlText w:val="(%1)"/>
      <w:lvlJc w:val="left"/>
      <w:pPr>
        <w:ind w:left="1440" w:hanging="720"/>
      </w:pPr>
      <w:rPr>
        <w:rFonts w:cs="Times New Roman" w:hint="default"/>
        <w:b w:val="0"/>
        <w:color w:val="FF0000"/>
      </w:rPr>
    </w:lvl>
    <w:lvl w:ilvl="1" w:tplc="2E6437AA">
      <w:start w:val="1"/>
      <w:numFmt w:val="lowerLetter"/>
      <w:lvlText w:val="(%2)"/>
      <w:lvlJc w:val="left"/>
      <w:pPr>
        <w:ind w:left="1800" w:hanging="360"/>
      </w:pPr>
      <w:rPr>
        <w:rFonts w:cs="Times New Roman"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15:restartNumberingAfterBreak="0">
    <w:nsid w:val="25655693"/>
    <w:multiLevelType w:val="hybridMultilevel"/>
    <w:tmpl w:val="AA0076E6"/>
    <w:lvl w:ilvl="0" w:tplc="A8007C3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85206CE"/>
    <w:multiLevelType w:val="hybridMultilevel"/>
    <w:tmpl w:val="847AB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8AE5619"/>
    <w:multiLevelType w:val="hybridMultilevel"/>
    <w:tmpl w:val="64604952"/>
    <w:lvl w:ilvl="0" w:tplc="75E40D1C">
      <w:start w:val="1"/>
      <w:numFmt w:val="decimal"/>
      <w:pStyle w:val="TOC3"/>
      <w:lvlText w:val="%1."/>
      <w:lvlJc w:val="left"/>
      <w:pPr>
        <w:ind w:left="1160" w:hanging="360"/>
      </w:pPr>
      <w:rPr>
        <w:rFonts w:ascii="Arial" w:hAnsi="Arial" w:hint="default"/>
        <w:b w:val="0"/>
        <w:i w:val="0"/>
        <w:caps w:val="0"/>
        <w:strike w:val="0"/>
        <w:dstrike w:val="0"/>
        <w:vanish w:val="0"/>
        <w:color w:val="auto"/>
        <w:spacing w:val="0"/>
        <w:w w:val="100"/>
        <w:kern w:val="0"/>
        <w:position w:val="0"/>
        <w:sz w:val="22"/>
        <w:u w:val="none"/>
        <w:vertAlign w:val="baseline"/>
        <w14:cntxtAlts w14:val="0"/>
      </w:r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25" w15:restartNumberingAfterBreak="0">
    <w:nsid w:val="2A0A74DF"/>
    <w:multiLevelType w:val="hybridMultilevel"/>
    <w:tmpl w:val="1DB8601A"/>
    <w:lvl w:ilvl="0" w:tplc="67DE317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2FA225B3"/>
    <w:multiLevelType w:val="hybridMultilevel"/>
    <w:tmpl w:val="171CD4C8"/>
    <w:lvl w:ilvl="0" w:tplc="9F0616A8">
      <w:start w:val="1"/>
      <w:numFmt w:val="decimal"/>
      <w:lvlText w:val="%1."/>
      <w:lvlJc w:val="left"/>
      <w:pPr>
        <w:ind w:left="720" w:hanging="360"/>
      </w:pPr>
    </w:lvl>
    <w:lvl w:ilvl="1" w:tplc="92ECE1F4">
      <w:start w:val="1"/>
      <w:numFmt w:val="lowerLetter"/>
      <w:lvlText w:val="%2."/>
      <w:lvlJc w:val="left"/>
      <w:pPr>
        <w:ind w:left="1440" w:hanging="360"/>
      </w:pPr>
    </w:lvl>
    <w:lvl w:ilvl="2" w:tplc="DED2CFF4">
      <w:start w:val="1"/>
      <w:numFmt w:val="lowerRoman"/>
      <w:lvlText w:val="%3."/>
      <w:lvlJc w:val="right"/>
      <w:pPr>
        <w:ind w:left="2160" w:hanging="180"/>
      </w:pPr>
    </w:lvl>
    <w:lvl w:ilvl="3" w:tplc="843EA6EA">
      <w:start w:val="1"/>
      <w:numFmt w:val="decimal"/>
      <w:lvlText w:val="%4."/>
      <w:lvlJc w:val="left"/>
      <w:pPr>
        <w:ind w:left="2880" w:hanging="360"/>
      </w:pPr>
    </w:lvl>
    <w:lvl w:ilvl="4" w:tplc="E4A0619A">
      <w:start w:val="1"/>
      <w:numFmt w:val="lowerLetter"/>
      <w:lvlText w:val="%5."/>
      <w:lvlJc w:val="left"/>
      <w:pPr>
        <w:ind w:left="3600" w:hanging="360"/>
      </w:pPr>
    </w:lvl>
    <w:lvl w:ilvl="5" w:tplc="DA0C8310">
      <w:start w:val="1"/>
      <w:numFmt w:val="lowerRoman"/>
      <w:lvlText w:val="%6."/>
      <w:lvlJc w:val="right"/>
      <w:pPr>
        <w:ind w:left="4320" w:hanging="180"/>
      </w:pPr>
    </w:lvl>
    <w:lvl w:ilvl="6" w:tplc="9C0AB8C6">
      <w:start w:val="1"/>
      <w:numFmt w:val="decimal"/>
      <w:lvlText w:val="%7."/>
      <w:lvlJc w:val="left"/>
      <w:pPr>
        <w:ind w:left="5040" w:hanging="360"/>
      </w:pPr>
    </w:lvl>
    <w:lvl w:ilvl="7" w:tplc="39840414">
      <w:start w:val="1"/>
      <w:numFmt w:val="lowerLetter"/>
      <w:lvlText w:val="%8."/>
      <w:lvlJc w:val="left"/>
      <w:pPr>
        <w:ind w:left="5760" w:hanging="360"/>
      </w:pPr>
    </w:lvl>
    <w:lvl w:ilvl="8" w:tplc="E2CA00C8">
      <w:start w:val="1"/>
      <w:numFmt w:val="lowerRoman"/>
      <w:lvlText w:val="%9."/>
      <w:lvlJc w:val="right"/>
      <w:pPr>
        <w:ind w:left="6480" w:hanging="180"/>
      </w:pPr>
    </w:lvl>
  </w:abstractNum>
  <w:abstractNum w:abstractNumId="27" w15:restartNumberingAfterBreak="0">
    <w:nsid w:val="2FAE645B"/>
    <w:multiLevelType w:val="hybridMultilevel"/>
    <w:tmpl w:val="8D162220"/>
    <w:lvl w:ilvl="0" w:tplc="9606E700">
      <w:start w:val="1"/>
      <w:numFmt w:val="decimal"/>
      <w:lvlText w:val="%1."/>
      <w:lvlJc w:val="left"/>
      <w:pPr>
        <w:ind w:left="720" w:hanging="360"/>
      </w:pPr>
    </w:lvl>
    <w:lvl w:ilvl="1" w:tplc="A81CCA8A">
      <w:start w:val="1"/>
      <w:numFmt w:val="lowerLetter"/>
      <w:lvlText w:val="%2."/>
      <w:lvlJc w:val="left"/>
      <w:pPr>
        <w:ind w:left="1440" w:hanging="360"/>
      </w:pPr>
    </w:lvl>
    <w:lvl w:ilvl="2" w:tplc="C562CB4A">
      <w:start w:val="1"/>
      <w:numFmt w:val="lowerRoman"/>
      <w:lvlText w:val="%3."/>
      <w:lvlJc w:val="right"/>
      <w:pPr>
        <w:ind w:left="2160" w:hanging="180"/>
      </w:pPr>
    </w:lvl>
    <w:lvl w:ilvl="3" w:tplc="6CBC04D2">
      <w:start w:val="1"/>
      <w:numFmt w:val="decimal"/>
      <w:lvlText w:val="%4."/>
      <w:lvlJc w:val="left"/>
      <w:pPr>
        <w:ind w:left="2880" w:hanging="360"/>
      </w:pPr>
    </w:lvl>
    <w:lvl w:ilvl="4" w:tplc="458210E8">
      <w:start w:val="1"/>
      <w:numFmt w:val="lowerLetter"/>
      <w:lvlText w:val="%5."/>
      <w:lvlJc w:val="left"/>
      <w:pPr>
        <w:ind w:left="3600" w:hanging="360"/>
      </w:pPr>
    </w:lvl>
    <w:lvl w:ilvl="5" w:tplc="D3AE4B0A">
      <w:start w:val="1"/>
      <w:numFmt w:val="lowerRoman"/>
      <w:lvlText w:val="%6."/>
      <w:lvlJc w:val="right"/>
      <w:pPr>
        <w:ind w:left="4320" w:hanging="180"/>
      </w:pPr>
    </w:lvl>
    <w:lvl w:ilvl="6" w:tplc="25A44680">
      <w:start w:val="1"/>
      <w:numFmt w:val="decimal"/>
      <w:lvlText w:val="%7."/>
      <w:lvlJc w:val="left"/>
      <w:pPr>
        <w:ind w:left="5040" w:hanging="360"/>
      </w:pPr>
    </w:lvl>
    <w:lvl w:ilvl="7" w:tplc="EEB09FB8">
      <w:start w:val="1"/>
      <w:numFmt w:val="lowerLetter"/>
      <w:lvlText w:val="%8."/>
      <w:lvlJc w:val="left"/>
      <w:pPr>
        <w:ind w:left="5760" w:hanging="360"/>
      </w:pPr>
    </w:lvl>
    <w:lvl w:ilvl="8" w:tplc="CC320DEA">
      <w:start w:val="1"/>
      <w:numFmt w:val="lowerRoman"/>
      <w:lvlText w:val="%9."/>
      <w:lvlJc w:val="right"/>
      <w:pPr>
        <w:ind w:left="6480" w:hanging="180"/>
      </w:pPr>
    </w:lvl>
  </w:abstractNum>
  <w:abstractNum w:abstractNumId="28" w15:restartNumberingAfterBreak="0">
    <w:nsid w:val="302A6AE1"/>
    <w:multiLevelType w:val="hybridMultilevel"/>
    <w:tmpl w:val="B6D48342"/>
    <w:lvl w:ilvl="0" w:tplc="D728B056">
      <w:start w:val="1"/>
      <w:numFmt w:val="decimal"/>
      <w:lvlText w:val="%1."/>
      <w:lvlJc w:val="left"/>
      <w:pPr>
        <w:ind w:left="1440" w:hanging="360"/>
      </w:pPr>
      <w:rPr>
        <w:rFonts w:ascii="Arial" w:hAnsi="Arial" w:hint="default"/>
        <w:b w:val="0"/>
        <w:i w:val="0"/>
        <w:caps w:val="0"/>
        <w:strike w:val="0"/>
        <w:dstrike w:val="0"/>
        <w:vanish w:val="0"/>
        <w:color w:val="auto"/>
        <w:spacing w:val="0"/>
        <w:w w:val="100"/>
        <w:kern w:val="0"/>
        <w:position w:val="0"/>
        <w:sz w:val="22"/>
        <w:u w:val="none"/>
        <w:vertAlign w:val="baseline"/>
        <w14:cntxtAlts w14: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321C0798"/>
    <w:multiLevelType w:val="hybridMultilevel"/>
    <w:tmpl w:val="FA5884DC"/>
    <w:lvl w:ilvl="0" w:tplc="DB68B0F6">
      <w:start w:val="1"/>
      <w:numFmt w:val="lowerRoman"/>
      <w:lvlText w:val="(%1)"/>
      <w:lvlJc w:val="right"/>
      <w:pPr>
        <w:ind w:left="360" w:hanging="360"/>
      </w:pPr>
      <w:rPr>
        <w:rFonts w:ascii="Arial" w:hAnsi="Arial" w:cs="Arial"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3EF24E2"/>
    <w:multiLevelType w:val="hybridMultilevel"/>
    <w:tmpl w:val="630A0668"/>
    <w:lvl w:ilvl="0" w:tplc="516033E6">
      <w:start w:val="3"/>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33F61E33"/>
    <w:multiLevelType w:val="hybridMultilevel"/>
    <w:tmpl w:val="6A78F968"/>
    <w:lvl w:ilvl="0" w:tplc="DB9A565A">
      <w:start w:val="15"/>
      <w:numFmt w:val="decimal"/>
      <w:lvlText w:val="%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55A4909"/>
    <w:multiLevelType w:val="hybridMultilevel"/>
    <w:tmpl w:val="7D70CBA4"/>
    <w:lvl w:ilvl="0" w:tplc="FFFFFFFF">
      <w:start w:val="1"/>
      <w:numFmt w:val="decimal"/>
      <w:lvlText w:val="%1."/>
      <w:lvlJc w:val="left"/>
      <w:pPr>
        <w:ind w:left="1350" w:hanging="360"/>
      </w:pPr>
      <w:rPr>
        <w:b w:val="0"/>
        <w:i w:val="0"/>
        <w:caps w:val="0"/>
        <w:strike w:val="0"/>
        <w:dstrike w:val="0"/>
        <w:vanish w:val="0"/>
        <w:color w:val="auto"/>
        <w:spacing w:val="0"/>
        <w:w w:val="100"/>
        <w:kern w:val="0"/>
        <w:position w:val="0"/>
        <w:sz w:val="22"/>
        <w:u w:val="none"/>
        <w:vertAlign w:val="baseline"/>
        <w14:cntxtAlts w14:val="0"/>
      </w:rPr>
    </w:lvl>
    <w:lvl w:ilvl="1" w:tplc="3DFA2374">
      <w:start w:val="1"/>
      <w:numFmt w:val="lowerRoman"/>
      <w:lvlText w:val="(%2)"/>
      <w:lvlJc w:val="left"/>
      <w:pPr>
        <w:ind w:left="2790" w:hanging="720"/>
      </w:pPr>
      <w:rPr>
        <w:rFonts w:hint="default"/>
      </w:r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3" w15:restartNumberingAfterBreak="0">
    <w:nsid w:val="46EA45A2"/>
    <w:multiLevelType w:val="multilevel"/>
    <w:tmpl w:val="6D62C080"/>
    <w:lvl w:ilvl="0">
      <w:start w:val="1"/>
      <w:numFmt w:val="decimal"/>
      <w:lvlText w:val="%1."/>
      <w:lvlJc w:val="left"/>
      <w:pPr>
        <w:ind w:left="720" w:hanging="360"/>
      </w:pPr>
      <w:rPr>
        <w:rFonts w:ascii="Arial" w:eastAsiaTheme="minorEastAsia" w:hAnsi="Arial" w:cs="Times New Roman" w:hint="default"/>
        <w:b w:val="0"/>
        <w:bCs/>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4" w15:restartNumberingAfterBreak="0">
    <w:nsid w:val="4B0B2CE8"/>
    <w:multiLevelType w:val="multilevel"/>
    <w:tmpl w:val="62524B22"/>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5" w15:restartNumberingAfterBreak="0">
    <w:nsid w:val="4B3B5082"/>
    <w:multiLevelType w:val="hybridMultilevel"/>
    <w:tmpl w:val="EB0A8868"/>
    <w:lvl w:ilvl="0" w:tplc="4B0C7052">
      <w:start w:val="1"/>
      <w:numFmt w:val="lowerRoman"/>
      <w:lvlText w:val="(%1)"/>
      <w:legacy w:legacy="1" w:legacySpace="0" w:legacyIndent="720"/>
      <w:lvlJc w:val="left"/>
      <w:pPr>
        <w:ind w:left="1440" w:hanging="720"/>
      </w:pPr>
      <w:rPr>
        <w:rFonts w:cs="Times New Roman"/>
      </w:rPr>
    </w:lvl>
    <w:lvl w:ilvl="1" w:tplc="868403D6">
      <w:numFmt w:val="decimal"/>
      <w:lvlText w:val=""/>
      <w:lvlJc w:val="left"/>
    </w:lvl>
    <w:lvl w:ilvl="2" w:tplc="7F9AD408">
      <w:numFmt w:val="decimal"/>
      <w:lvlText w:val=""/>
      <w:lvlJc w:val="left"/>
    </w:lvl>
    <w:lvl w:ilvl="3" w:tplc="E5A800F2">
      <w:numFmt w:val="decimal"/>
      <w:lvlText w:val=""/>
      <w:lvlJc w:val="left"/>
    </w:lvl>
    <w:lvl w:ilvl="4" w:tplc="965A658C">
      <w:numFmt w:val="decimal"/>
      <w:lvlText w:val=""/>
      <w:lvlJc w:val="left"/>
    </w:lvl>
    <w:lvl w:ilvl="5" w:tplc="1AD24D20">
      <w:numFmt w:val="decimal"/>
      <w:lvlText w:val=""/>
      <w:lvlJc w:val="left"/>
    </w:lvl>
    <w:lvl w:ilvl="6" w:tplc="42A66C22">
      <w:numFmt w:val="decimal"/>
      <w:lvlText w:val=""/>
      <w:lvlJc w:val="left"/>
    </w:lvl>
    <w:lvl w:ilvl="7" w:tplc="D0607F94">
      <w:numFmt w:val="decimal"/>
      <w:lvlText w:val=""/>
      <w:lvlJc w:val="left"/>
    </w:lvl>
    <w:lvl w:ilvl="8" w:tplc="B7502A0E">
      <w:numFmt w:val="decimal"/>
      <w:lvlText w:val=""/>
      <w:lvlJc w:val="left"/>
    </w:lvl>
  </w:abstractNum>
  <w:abstractNum w:abstractNumId="36" w15:restartNumberingAfterBreak="0">
    <w:nsid w:val="4C603557"/>
    <w:multiLevelType w:val="hybridMultilevel"/>
    <w:tmpl w:val="A4107260"/>
    <w:lvl w:ilvl="0" w:tplc="403803D0">
      <w:start w:val="23"/>
      <w:numFmt w:val="decimal"/>
      <w:lvlText w:val="%1."/>
      <w:lvlJc w:val="left"/>
      <w:pPr>
        <w:ind w:left="36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DCE1AD4"/>
    <w:multiLevelType w:val="hybridMultilevel"/>
    <w:tmpl w:val="ED1035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05D4315"/>
    <w:multiLevelType w:val="hybridMultilevel"/>
    <w:tmpl w:val="9BF6A4D4"/>
    <w:lvl w:ilvl="0" w:tplc="CD302C48">
      <w:start w:val="1"/>
      <w:numFmt w:val="decimal"/>
      <w:lvlText w:val="%1."/>
      <w:lvlJc w:val="left"/>
      <w:pPr>
        <w:ind w:left="720" w:hanging="360"/>
      </w:pPr>
    </w:lvl>
    <w:lvl w:ilvl="1" w:tplc="191EF544">
      <w:start w:val="1"/>
      <w:numFmt w:val="lowerLetter"/>
      <w:lvlText w:val="%2."/>
      <w:lvlJc w:val="left"/>
      <w:pPr>
        <w:ind w:left="1440" w:hanging="360"/>
      </w:pPr>
    </w:lvl>
    <w:lvl w:ilvl="2" w:tplc="B956A216">
      <w:start w:val="1"/>
      <w:numFmt w:val="lowerRoman"/>
      <w:lvlText w:val="%3."/>
      <w:lvlJc w:val="right"/>
      <w:pPr>
        <w:ind w:left="2160" w:hanging="180"/>
      </w:pPr>
    </w:lvl>
    <w:lvl w:ilvl="3" w:tplc="BB62235E">
      <w:start w:val="1"/>
      <w:numFmt w:val="decimal"/>
      <w:lvlText w:val="%4."/>
      <w:lvlJc w:val="left"/>
      <w:pPr>
        <w:ind w:left="2880" w:hanging="360"/>
      </w:pPr>
    </w:lvl>
    <w:lvl w:ilvl="4" w:tplc="5038FDA4">
      <w:start w:val="1"/>
      <w:numFmt w:val="lowerLetter"/>
      <w:lvlText w:val="%5."/>
      <w:lvlJc w:val="left"/>
      <w:pPr>
        <w:ind w:left="3600" w:hanging="360"/>
      </w:pPr>
    </w:lvl>
    <w:lvl w:ilvl="5" w:tplc="07DE31A8">
      <w:start w:val="1"/>
      <w:numFmt w:val="lowerRoman"/>
      <w:lvlText w:val="%6."/>
      <w:lvlJc w:val="right"/>
      <w:pPr>
        <w:ind w:left="4320" w:hanging="180"/>
      </w:pPr>
    </w:lvl>
    <w:lvl w:ilvl="6" w:tplc="7CAC6C1C">
      <w:start w:val="1"/>
      <w:numFmt w:val="decimal"/>
      <w:lvlText w:val="%7."/>
      <w:lvlJc w:val="left"/>
      <w:pPr>
        <w:ind w:left="5040" w:hanging="360"/>
      </w:pPr>
    </w:lvl>
    <w:lvl w:ilvl="7" w:tplc="EB10863A">
      <w:start w:val="1"/>
      <w:numFmt w:val="lowerLetter"/>
      <w:lvlText w:val="%8."/>
      <w:lvlJc w:val="left"/>
      <w:pPr>
        <w:ind w:left="5760" w:hanging="360"/>
      </w:pPr>
    </w:lvl>
    <w:lvl w:ilvl="8" w:tplc="EA58EE36">
      <w:start w:val="1"/>
      <w:numFmt w:val="lowerRoman"/>
      <w:lvlText w:val="%9."/>
      <w:lvlJc w:val="right"/>
      <w:pPr>
        <w:ind w:left="6480" w:hanging="180"/>
      </w:pPr>
    </w:lvl>
  </w:abstractNum>
  <w:abstractNum w:abstractNumId="39" w15:restartNumberingAfterBreak="0">
    <w:nsid w:val="515F6DA8"/>
    <w:multiLevelType w:val="hybridMultilevel"/>
    <w:tmpl w:val="4378A42E"/>
    <w:lvl w:ilvl="0" w:tplc="EE6E7C44">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1B42421"/>
    <w:multiLevelType w:val="hybridMultilevel"/>
    <w:tmpl w:val="A3E29D9C"/>
    <w:lvl w:ilvl="0" w:tplc="A28C7FAC">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1EF04AC"/>
    <w:multiLevelType w:val="hybridMultilevel"/>
    <w:tmpl w:val="0B749F26"/>
    <w:lvl w:ilvl="0" w:tplc="B76E7E5C">
      <w:start w:val="1"/>
      <w:numFmt w:val="decimal"/>
      <w:lvlText w:val="%1."/>
      <w:lvlJc w:val="left"/>
      <w:pPr>
        <w:ind w:left="360" w:hanging="360"/>
      </w:pPr>
      <w:rPr>
        <w:rFonts w:hint="default"/>
        <w:color w:val="000000" w:themeColor="text1"/>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524B5DEB"/>
    <w:multiLevelType w:val="hybridMultilevel"/>
    <w:tmpl w:val="4A06557C"/>
    <w:lvl w:ilvl="0" w:tplc="B8D66DD4">
      <w:start w:val="1"/>
      <w:numFmt w:val="lowerRoman"/>
      <w:lvlText w:val="(%1)"/>
      <w:lvlJc w:val="left"/>
      <w:pPr>
        <w:ind w:left="1080" w:hanging="720"/>
      </w:pPr>
      <w:rPr>
        <w:rFonts w:cs="Times New Roman" w:hint="default"/>
        <w:b w:val="0"/>
        <w:color w:val="FF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15:restartNumberingAfterBreak="0">
    <w:nsid w:val="54005DF3"/>
    <w:multiLevelType w:val="hybridMultilevel"/>
    <w:tmpl w:val="4A06557C"/>
    <w:lvl w:ilvl="0" w:tplc="B8D66DD4">
      <w:start w:val="1"/>
      <w:numFmt w:val="lowerRoman"/>
      <w:lvlText w:val="(%1)"/>
      <w:lvlJc w:val="left"/>
      <w:pPr>
        <w:ind w:left="1080" w:hanging="720"/>
      </w:pPr>
      <w:rPr>
        <w:rFonts w:cs="Times New Roman" w:hint="default"/>
        <w:b w:val="0"/>
        <w:color w:val="FF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15:restartNumberingAfterBreak="0">
    <w:nsid w:val="541B6A69"/>
    <w:multiLevelType w:val="hybridMultilevel"/>
    <w:tmpl w:val="017A051A"/>
    <w:lvl w:ilvl="0" w:tplc="7A92A71A">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5776072D"/>
    <w:multiLevelType w:val="hybridMultilevel"/>
    <w:tmpl w:val="0B749F26"/>
    <w:lvl w:ilvl="0" w:tplc="B76E7E5C">
      <w:start w:val="1"/>
      <w:numFmt w:val="decimal"/>
      <w:lvlText w:val="%1."/>
      <w:lvlJc w:val="left"/>
      <w:pPr>
        <w:ind w:left="360" w:hanging="360"/>
      </w:pPr>
      <w:rPr>
        <w:rFonts w:hint="default"/>
        <w:color w:val="000000" w:themeColor="text1"/>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59345E2F"/>
    <w:multiLevelType w:val="hybridMultilevel"/>
    <w:tmpl w:val="E6E21A2A"/>
    <w:lvl w:ilvl="0" w:tplc="400EAA6C">
      <w:start w:val="1"/>
      <w:numFmt w:val="decimal"/>
      <w:lvlText w:val="%1."/>
      <w:lvlJc w:val="left"/>
      <w:pPr>
        <w:ind w:left="360" w:hanging="360"/>
      </w:pPr>
      <w:rPr>
        <w:rFonts w:hint="default"/>
        <w:b w:val="0"/>
        <w:bCs w:val="0"/>
        <w:color w:val="000000" w:themeColor="text1"/>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5B6C0243"/>
    <w:multiLevelType w:val="hybridMultilevel"/>
    <w:tmpl w:val="015A5602"/>
    <w:lvl w:ilvl="0" w:tplc="DFFEB1C2">
      <w:start w:val="10"/>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C5D1F71"/>
    <w:multiLevelType w:val="hybridMultilevel"/>
    <w:tmpl w:val="BC325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D5554C2"/>
    <w:multiLevelType w:val="hybridMultilevel"/>
    <w:tmpl w:val="95B0E8AA"/>
    <w:lvl w:ilvl="0" w:tplc="33BAED92">
      <w:start w:val="1"/>
      <w:numFmt w:val="lowerRoman"/>
      <w:lvlText w:val="(%1)"/>
      <w:lvlJc w:val="right"/>
      <w:pPr>
        <w:ind w:left="720" w:hanging="720"/>
      </w:pPr>
      <w:rPr>
        <w:rFonts w:ascii="Arial" w:hAnsi="Arial" w:cs="Arial" w:hint="default"/>
        <w:b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5DDA4927"/>
    <w:multiLevelType w:val="hybridMultilevel"/>
    <w:tmpl w:val="11BCD0F4"/>
    <w:lvl w:ilvl="0" w:tplc="B456CCF4">
      <w:start w:val="1"/>
      <w:numFmt w:val="lowerRoman"/>
      <w:lvlText w:val="(%1)"/>
      <w:lvlJc w:val="left"/>
      <w:pPr>
        <w:ind w:left="1440" w:hanging="720"/>
      </w:pPr>
      <w:rPr>
        <w:rFonts w:cs="Times New Roman" w:hint="default"/>
        <w:color w:val="FF000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1" w15:restartNumberingAfterBreak="0">
    <w:nsid w:val="5F963C54"/>
    <w:multiLevelType w:val="hybridMultilevel"/>
    <w:tmpl w:val="604A8FDC"/>
    <w:lvl w:ilvl="0" w:tplc="71822572">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746270C"/>
    <w:multiLevelType w:val="hybridMultilevel"/>
    <w:tmpl w:val="FFFFFFFF"/>
    <w:lvl w:ilvl="0" w:tplc="805CC1F8">
      <w:start w:val="1"/>
      <w:numFmt w:val="lowerLetter"/>
      <w:lvlText w:val="%1."/>
      <w:lvlJc w:val="left"/>
      <w:pPr>
        <w:ind w:left="720" w:hanging="360"/>
      </w:pPr>
    </w:lvl>
    <w:lvl w:ilvl="1" w:tplc="03E823F8">
      <w:start w:val="1"/>
      <w:numFmt w:val="lowerLetter"/>
      <w:lvlText w:val="%2."/>
      <w:lvlJc w:val="left"/>
      <w:pPr>
        <w:ind w:left="1440" w:hanging="360"/>
      </w:pPr>
    </w:lvl>
    <w:lvl w:ilvl="2" w:tplc="4F62F536">
      <w:start w:val="1"/>
      <w:numFmt w:val="lowerRoman"/>
      <w:lvlText w:val="%3."/>
      <w:lvlJc w:val="right"/>
      <w:pPr>
        <w:ind w:left="2160" w:hanging="180"/>
      </w:pPr>
    </w:lvl>
    <w:lvl w:ilvl="3" w:tplc="DF94C458">
      <w:start w:val="1"/>
      <w:numFmt w:val="decimal"/>
      <w:lvlText w:val="%4."/>
      <w:lvlJc w:val="left"/>
      <w:pPr>
        <w:ind w:left="2880" w:hanging="360"/>
      </w:pPr>
    </w:lvl>
    <w:lvl w:ilvl="4" w:tplc="1536066E">
      <w:start w:val="1"/>
      <w:numFmt w:val="lowerLetter"/>
      <w:lvlText w:val="%5."/>
      <w:lvlJc w:val="left"/>
      <w:pPr>
        <w:ind w:left="3600" w:hanging="360"/>
      </w:pPr>
    </w:lvl>
    <w:lvl w:ilvl="5" w:tplc="01EAD0A4">
      <w:start w:val="1"/>
      <w:numFmt w:val="lowerRoman"/>
      <w:lvlText w:val="%6."/>
      <w:lvlJc w:val="right"/>
      <w:pPr>
        <w:ind w:left="4320" w:hanging="180"/>
      </w:pPr>
    </w:lvl>
    <w:lvl w:ilvl="6" w:tplc="AFDAE4BE">
      <w:start w:val="1"/>
      <w:numFmt w:val="decimal"/>
      <w:lvlText w:val="%7."/>
      <w:lvlJc w:val="left"/>
      <w:pPr>
        <w:ind w:left="5040" w:hanging="360"/>
      </w:pPr>
    </w:lvl>
    <w:lvl w:ilvl="7" w:tplc="09CA09F8">
      <w:start w:val="1"/>
      <w:numFmt w:val="lowerLetter"/>
      <w:lvlText w:val="%8."/>
      <w:lvlJc w:val="left"/>
      <w:pPr>
        <w:ind w:left="5760" w:hanging="360"/>
      </w:pPr>
    </w:lvl>
    <w:lvl w:ilvl="8" w:tplc="DD1AA912">
      <w:start w:val="1"/>
      <w:numFmt w:val="lowerRoman"/>
      <w:lvlText w:val="%9."/>
      <w:lvlJc w:val="right"/>
      <w:pPr>
        <w:ind w:left="6480" w:hanging="180"/>
      </w:pPr>
    </w:lvl>
  </w:abstractNum>
  <w:abstractNum w:abstractNumId="53" w15:restartNumberingAfterBreak="0">
    <w:nsid w:val="6A685668"/>
    <w:multiLevelType w:val="hybridMultilevel"/>
    <w:tmpl w:val="4AB2E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ACB31BE"/>
    <w:multiLevelType w:val="hybridMultilevel"/>
    <w:tmpl w:val="EC24DD5A"/>
    <w:lvl w:ilvl="0" w:tplc="FFE481F4">
      <w:start w:val="16"/>
      <w:numFmt w:val="decimal"/>
      <w:lvlText w:val="%1."/>
      <w:lvlJc w:val="left"/>
      <w:pPr>
        <w:ind w:left="-1800" w:hanging="360"/>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09378DC"/>
    <w:multiLevelType w:val="hybridMultilevel"/>
    <w:tmpl w:val="571A02AC"/>
    <w:lvl w:ilvl="0" w:tplc="54001DFA">
      <w:start w:val="1"/>
      <w:numFmt w:val="lowerRoman"/>
      <w:lvlText w:val="(%1)"/>
      <w:lvlJc w:val="left"/>
      <w:pPr>
        <w:ind w:left="6816" w:hanging="720"/>
      </w:pPr>
      <w:rPr>
        <w:rFonts w:eastAsia="Times New Roman" w:hint="default"/>
      </w:rPr>
    </w:lvl>
    <w:lvl w:ilvl="1" w:tplc="04090019">
      <w:start w:val="1"/>
      <w:numFmt w:val="lowerLetter"/>
      <w:lvlText w:val="%2."/>
      <w:lvlJc w:val="left"/>
      <w:pPr>
        <w:ind w:left="-1080" w:hanging="360"/>
      </w:pPr>
    </w:lvl>
    <w:lvl w:ilvl="2" w:tplc="0409001B">
      <w:start w:val="1"/>
      <w:numFmt w:val="lowerRoman"/>
      <w:lvlText w:val="%3."/>
      <w:lvlJc w:val="right"/>
      <w:pPr>
        <w:ind w:left="-360" w:hanging="180"/>
      </w:pPr>
    </w:lvl>
    <w:lvl w:ilvl="3" w:tplc="0409000F">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56" w15:restartNumberingAfterBreak="0">
    <w:nsid w:val="70C32622"/>
    <w:multiLevelType w:val="hybridMultilevel"/>
    <w:tmpl w:val="77184820"/>
    <w:lvl w:ilvl="0" w:tplc="E4D41AB2">
      <w:start w:val="1"/>
      <w:numFmt w:val="lowerRoman"/>
      <w:lvlText w:val="(%1)"/>
      <w:lvlJc w:val="left"/>
      <w:pPr>
        <w:ind w:left="1080" w:hanging="720"/>
      </w:pPr>
      <w:rPr>
        <w:rFonts w:eastAsiaTheme="maj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3374325"/>
    <w:multiLevelType w:val="hybridMultilevel"/>
    <w:tmpl w:val="27065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5884519"/>
    <w:multiLevelType w:val="hybridMultilevel"/>
    <w:tmpl w:val="0C70658E"/>
    <w:lvl w:ilvl="0" w:tplc="175C7DF8">
      <w:start w:val="1"/>
      <w:numFmt w:val="decimal"/>
      <w:lvlText w:val="%1."/>
      <w:lvlJc w:val="left"/>
      <w:pPr>
        <w:tabs>
          <w:tab w:val="num" w:pos="720"/>
        </w:tabs>
        <w:ind w:left="720" w:hanging="360"/>
      </w:pPr>
    </w:lvl>
    <w:lvl w:ilvl="1" w:tplc="2EA6FB92" w:tentative="1">
      <w:start w:val="1"/>
      <w:numFmt w:val="decimal"/>
      <w:lvlText w:val="%2."/>
      <w:lvlJc w:val="left"/>
      <w:pPr>
        <w:tabs>
          <w:tab w:val="num" w:pos="1440"/>
        </w:tabs>
        <w:ind w:left="1440" w:hanging="360"/>
      </w:pPr>
    </w:lvl>
    <w:lvl w:ilvl="2" w:tplc="94E6B558" w:tentative="1">
      <w:start w:val="1"/>
      <w:numFmt w:val="decimal"/>
      <w:lvlText w:val="%3."/>
      <w:lvlJc w:val="left"/>
      <w:pPr>
        <w:tabs>
          <w:tab w:val="num" w:pos="2160"/>
        </w:tabs>
        <w:ind w:left="2160" w:hanging="360"/>
      </w:pPr>
    </w:lvl>
    <w:lvl w:ilvl="3" w:tplc="8D3A5CE0" w:tentative="1">
      <w:start w:val="1"/>
      <w:numFmt w:val="decimal"/>
      <w:lvlText w:val="%4."/>
      <w:lvlJc w:val="left"/>
      <w:pPr>
        <w:tabs>
          <w:tab w:val="num" w:pos="2880"/>
        </w:tabs>
        <w:ind w:left="2880" w:hanging="360"/>
      </w:pPr>
    </w:lvl>
    <w:lvl w:ilvl="4" w:tplc="93F2176A" w:tentative="1">
      <w:start w:val="1"/>
      <w:numFmt w:val="decimal"/>
      <w:lvlText w:val="%5."/>
      <w:lvlJc w:val="left"/>
      <w:pPr>
        <w:tabs>
          <w:tab w:val="num" w:pos="3600"/>
        </w:tabs>
        <w:ind w:left="3600" w:hanging="360"/>
      </w:pPr>
    </w:lvl>
    <w:lvl w:ilvl="5" w:tplc="A74EF894" w:tentative="1">
      <w:start w:val="1"/>
      <w:numFmt w:val="decimal"/>
      <w:lvlText w:val="%6."/>
      <w:lvlJc w:val="left"/>
      <w:pPr>
        <w:tabs>
          <w:tab w:val="num" w:pos="4320"/>
        </w:tabs>
        <w:ind w:left="4320" w:hanging="360"/>
      </w:pPr>
    </w:lvl>
    <w:lvl w:ilvl="6" w:tplc="C916D688" w:tentative="1">
      <w:start w:val="1"/>
      <w:numFmt w:val="decimal"/>
      <w:lvlText w:val="%7."/>
      <w:lvlJc w:val="left"/>
      <w:pPr>
        <w:tabs>
          <w:tab w:val="num" w:pos="5040"/>
        </w:tabs>
        <w:ind w:left="5040" w:hanging="360"/>
      </w:pPr>
    </w:lvl>
    <w:lvl w:ilvl="7" w:tplc="C5BEC00E" w:tentative="1">
      <w:start w:val="1"/>
      <w:numFmt w:val="decimal"/>
      <w:lvlText w:val="%8."/>
      <w:lvlJc w:val="left"/>
      <w:pPr>
        <w:tabs>
          <w:tab w:val="num" w:pos="5760"/>
        </w:tabs>
        <w:ind w:left="5760" w:hanging="360"/>
      </w:pPr>
    </w:lvl>
    <w:lvl w:ilvl="8" w:tplc="6C268B56" w:tentative="1">
      <w:start w:val="1"/>
      <w:numFmt w:val="decimal"/>
      <w:lvlText w:val="%9."/>
      <w:lvlJc w:val="left"/>
      <w:pPr>
        <w:tabs>
          <w:tab w:val="num" w:pos="6480"/>
        </w:tabs>
        <w:ind w:left="6480" w:hanging="360"/>
      </w:pPr>
    </w:lvl>
  </w:abstractNum>
  <w:abstractNum w:abstractNumId="59" w15:restartNumberingAfterBreak="0">
    <w:nsid w:val="76254727"/>
    <w:multiLevelType w:val="hybridMultilevel"/>
    <w:tmpl w:val="C2408B20"/>
    <w:lvl w:ilvl="0" w:tplc="473642D8">
      <w:start w:val="1"/>
      <w:numFmt w:val="decimal"/>
      <w:lvlText w:val="%1."/>
      <w:lvlJc w:val="left"/>
      <w:pPr>
        <w:ind w:left="720" w:hanging="360"/>
      </w:pPr>
      <w:rPr>
        <w:rFonts w:cs="Times New Roman"/>
        <w:color w:val="FF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0" w15:restartNumberingAfterBreak="0">
    <w:nsid w:val="784245F2"/>
    <w:multiLevelType w:val="hybridMultilevel"/>
    <w:tmpl w:val="4A06557C"/>
    <w:lvl w:ilvl="0" w:tplc="B8D66DD4">
      <w:start w:val="1"/>
      <w:numFmt w:val="lowerRoman"/>
      <w:lvlText w:val="(%1)"/>
      <w:lvlJc w:val="left"/>
      <w:pPr>
        <w:ind w:left="1080" w:hanging="720"/>
      </w:pPr>
      <w:rPr>
        <w:rFonts w:cs="Times New Roman" w:hint="default"/>
        <w:b w:val="0"/>
        <w:color w:val="FF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15:restartNumberingAfterBreak="0">
    <w:nsid w:val="785B170B"/>
    <w:multiLevelType w:val="hybridMultilevel"/>
    <w:tmpl w:val="54B4EBDA"/>
    <w:lvl w:ilvl="0" w:tplc="83BE85F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FB62E64"/>
    <w:multiLevelType w:val="hybridMultilevel"/>
    <w:tmpl w:val="1A00C874"/>
    <w:lvl w:ilvl="0" w:tplc="DFD822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35"/>
    <w:lvlOverride w:ilvl="0">
      <w:lvl w:ilvl="0" w:tplc="4B0C7052">
        <w:start w:val="1"/>
        <w:numFmt w:val="lowerRoman"/>
        <w:lvlText w:val="(%1)"/>
        <w:legacy w:legacy="1" w:legacySpace="0" w:legacyIndent="720"/>
        <w:lvlJc w:val="left"/>
        <w:pPr>
          <w:ind w:left="1260" w:hanging="720"/>
        </w:pPr>
        <w:rPr>
          <w:rFonts w:cs="Times New Roman"/>
        </w:rPr>
      </w:lvl>
    </w:lvlOverride>
  </w:num>
  <w:num w:numId="3">
    <w:abstractNumId w:val="0"/>
  </w:num>
  <w:num w:numId="4">
    <w:abstractNumId w:val="21"/>
  </w:num>
  <w:num w:numId="5">
    <w:abstractNumId w:val="50"/>
  </w:num>
  <w:num w:numId="6">
    <w:abstractNumId w:val="59"/>
  </w:num>
  <w:num w:numId="7">
    <w:abstractNumId w:val="60"/>
  </w:num>
  <w:num w:numId="8">
    <w:abstractNumId w:val="42"/>
  </w:num>
  <w:num w:numId="9">
    <w:abstractNumId w:val="43"/>
  </w:num>
  <w:num w:numId="10">
    <w:abstractNumId w:val="62"/>
  </w:num>
  <w:num w:numId="11">
    <w:abstractNumId w:val="20"/>
  </w:num>
  <w:num w:numId="12">
    <w:abstractNumId w:val="24"/>
  </w:num>
  <w:num w:numId="13">
    <w:abstractNumId w:val="10"/>
  </w:num>
  <w:num w:numId="14">
    <w:abstractNumId w:val="34"/>
  </w:num>
  <w:num w:numId="15">
    <w:abstractNumId w:val="33"/>
  </w:num>
  <w:num w:numId="16">
    <w:abstractNumId w:val="6"/>
  </w:num>
  <w:num w:numId="17">
    <w:abstractNumId w:val="18"/>
  </w:num>
  <w:num w:numId="18">
    <w:abstractNumId w:val="51"/>
  </w:num>
  <w:num w:numId="19">
    <w:abstractNumId w:val="40"/>
  </w:num>
  <w:num w:numId="20">
    <w:abstractNumId w:val="11"/>
  </w:num>
  <w:num w:numId="21">
    <w:abstractNumId w:val="61"/>
  </w:num>
  <w:num w:numId="22">
    <w:abstractNumId w:val="52"/>
  </w:num>
  <w:num w:numId="23">
    <w:abstractNumId w:val="54"/>
  </w:num>
  <w:num w:numId="24">
    <w:abstractNumId w:val="55"/>
  </w:num>
  <w:num w:numId="25">
    <w:abstractNumId w:val="31"/>
  </w:num>
  <w:num w:numId="26">
    <w:abstractNumId w:val="3"/>
  </w:num>
  <w:num w:numId="27">
    <w:abstractNumId w:val="28"/>
  </w:num>
  <w:num w:numId="28">
    <w:abstractNumId w:val="32"/>
  </w:num>
  <w:num w:numId="29">
    <w:abstractNumId w:val="46"/>
  </w:num>
  <w:num w:numId="30">
    <w:abstractNumId w:val="47"/>
  </w:num>
  <w:num w:numId="31">
    <w:abstractNumId w:val="39"/>
  </w:num>
  <w:num w:numId="32">
    <w:abstractNumId w:val="7"/>
  </w:num>
  <w:num w:numId="33">
    <w:abstractNumId w:val="58"/>
  </w:num>
  <w:num w:numId="34">
    <w:abstractNumId w:val="37"/>
  </w:num>
  <w:num w:numId="35">
    <w:abstractNumId w:val="19"/>
  </w:num>
  <w:num w:numId="36">
    <w:abstractNumId w:val="15"/>
  </w:num>
  <w:num w:numId="37">
    <w:abstractNumId w:val="29"/>
  </w:num>
  <w:num w:numId="38">
    <w:abstractNumId w:val="44"/>
  </w:num>
  <w:num w:numId="39">
    <w:abstractNumId w:val="49"/>
  </w:num>
  <w:num w:numId="40">
    <w:abstractNumId w:val="4"/>
  </w:num>
  <w:num w:numId="41">
    <w:abstractNumId w:val="56"/>
  </w:num>
  <w:num w:numId="42">
    <w:abstractNumId w:val="36"/>
  </w:num>
  <w:num w:numId="43">
    <w:abstractNumId w:val="2"/>
  </w:num>
  <w:num w:numId="44">
    <w:abstractNumId w:val="17"/>
  </w:num>
  <w:num w:numId="45">
    <w:abstractNumId w:val="16"/>
  </w:num>
  <w:num w:numId="46">
    <w:abstractNumId w:val="26"/>
  </w:num>
  <w:num w:numId="47">
    <w:abstractNumId w:val="27"/>
  </w:num>
  <w:num w:numId="48">
    <w:abstractNumId w:val="12"/>
  </w:num>
  <w:num w:numId="49">
    <w:abstractNumId w:val="38"/>
  </w:num>
  <w:num w:numId="50">
    <w:abstractNumId w:val="8"/>
  </w:num>
  <w:num w:numId="51">
    <w:abstractNumId w:val="14"/>
  </w:num>
  <w:num w:numId="52">
    <w:abstractNumId w:val="25"/>
  </w:num>
  <w:num w:numId="53">
    <w:abstractNumId w:val="5"/>
  </w:num>
  <w:num w:numId="54">
    <w:abstractNumId w:val="9"/>
  </w:num>
  <w:num w:numId="55">
    <w:abstractNumId w:val="1"/>
  </w:num>
  <w:num w:numId="56">
    <w:abstractNumId w:val="13"/>
  </w:num>
  <w:num w:numId="57">
    <w:abstractNumId w:val="30"/>
  </w:num>
  <w:num w:numId="58">
    <w:abstractNumId w:val="41"/>
  </w:num>
  <w:num w:numId="59">
    <w:abstractNumId w:val="45"/>
  </w:num>
  <w:num w:numId="60">
    <w:abstractNumId w:val="53"/>
  </w:num>
  <w:num w:numId="61">
    <w:abstractNumId w:val="48"/>
  </w:num>
  <w:num w:numId="62">
    <w:abstractNumId w:val="22"/>
  </w:num>
  <w:num w:numId="63">
    <w:abstractNumId w:val="23"/>
  </w:num>
  <w:num w:numId="64">
    <w:abstractNumId w:val="5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2"/>
  <w:noPunctuationKerning/>
  <w:characterSpacingControl w:val="doNotCompress"/>
  <w:hdrShapeDefaults>
    <o:shapedefaults v:ext="edit" spidmax="2049"/>
  </w:hdrShapeDefaults>
  <w:footnotePr>
    <w:numRestart w:val="eachSect"/>
    <w:footnote w:id="-1"/>
    <w:footnote w:id="0"/>
    <w:footnote w:id="1"/>
  </w:footnotePr>
  <w:endnotePr>
    <w:numRestart w:val="eachSect"/>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MwNjAyt7AwNzO1NDdQ0lEKTi0uzszPAykwrAUAZfla3SwAAAA="/>
  </w:docVars>
  <w:rsids>
    <w:rsidRoot w:val="0013053C"/>
    <w:rsid w:val="000000A6"/>
    <w:rsid w:val="0000036F"/>
    <w:rsid w:val="000006E3"/>
    <w:rsid w:val="0000085A"/>
    <w:rsid w:val="000008BF"/>
    <w:rsid w:val="00000DC4"/>
    <w:rsid w:val="000017F3"/>
    <w:rsid w:val="0000247D"/>
    <w:rsid w:val="00002758"/>
    <w:rsid w:val="000028A5"/>
    <w:rsid w:val="00002AE8"/>
    <w:rsid w:val="00002B40"/>
    <w:rsid w:val="000033D2"/>
    <w:rsid w:val="0000366A"/>
    <w:rsid w:val="0000399C"/>
    <w:rsid w:val="00004DA1"/>
    <w:rsid w:val="00004E26"/>
    <w:rsid w:val="00005322"/>
    <w:rsid w:val="00005347"/>
    <w:rsid w:val="000055DD"/>
    <w:rsid w:val="000058E6"/>
    <w:rsid w:val="00005AAC"/>
    <w:rsid w:val="00005BB1"/>
    <w:rsid w:val="0000601F"/>
    <w:rsid w:val="00006242"/>
    <w:rsid w:val="0000626B"/>
    <w:rsid w:val="000062DA"/>
    <w:rsid w:val="000062DF"/>
    <w:rsid w:val="00006B92"/>
    <w:rsid w:val="00007339"/>
    <w:rsid w:val="000076C4"/>
    <w:rsid w:val="0000794C"/>
    <w:rsid w:val="00007C82"/>
    <w:rsid w:val="00010349"/>
    <w:rsid w:val="00010662"/>
    <w:rsid w:val="000106BF"/>
    <w:rsid w:val="00010ABB"/>
    <w:rsid w:val="00010BA3"/>
    <w:rsid w:val="00011265"/>
    <w:rsid w:val="000115FA"/>
    <w:rsid w:val="0001161C"/>
    <w:rsid w:val="0001220D"/>
    <w:rsid w:val="0001247B"/>
    <w:rsid w:val="000124AD"/>
    <w:rsid w:val="00012802"/>
    <w:rsid w:val="00012C99"/>
    <w:rsid w:val="000133C9"/>
    <w:rsid w:val="00013475"/>
    <w:rsid w:val="0001393F"/>
    <w:rsid w:val="00013B88"/>
    <w:rsid w:val="0001454A"/>
    <w:rsid w:val="0001467E"/>
    <w:rsid w:val="00014F78"/>
    <w:rsid w:val="00015048"/>
    <w:rsid w:val="000153B8"/>
    <w:rsid w:val="000155F3"/>
    <w:rsid w:val="00015994"/>
    <w:rsid w:val="00016279"/>
    <w:rsid w:val="0001628A"/>
    <w:rsid w:val="0001655A"/>
    <w:rsid w:val="000165E0"/>
    <w:rsid w:val="00016D4B"/>
    <w:rsid w:val="00017066"/>
    <w:rsid w:val="00017310"/>
    <w:rsid w:val="0001752F"/>
    <w:rsid w:val="00020321"/>
    <w:rsid w:val="000203CC"/>
    <w:rsid w:val="00020403"/>
    <w:rsid w:val="00020AA6"/>
    <w:rsid w:val="00021171"/>
    <w:rsid w:val="00021C4D"/>
    <w:rsid w:val="00022318"/>
    <w:rsid w:val="000228E6"/>
    <w:rsid w:val="0002293E"/>
    <w:rsid w:val="00022F63"/>
    <w:rsid w:val="00023EC0"/>
    <w:rsid w:val="00024039"/>
    <w:rsid w:val="000241B1"/>
    <w:rsid w:val="00024639"/>
    <w:rsid w:val="00024790"/>
    <w:rsid w:val="00024A40"/>
    <w:rsid w:val="00024A96"/>
    <w:rsid w:val="0002551D"/>
    <w:rsid w:val="00026854"/>
    <w:rsid w:val="000268F1"/>
    <w:rsid w:val="000268F4"/>
    <w:rsid w:val="00026971"/>
    <w:rsid w:val="00026B4A"/>
    <w:rsid w:val="00026EA9"/>
    <w:rsid w:val="00026FFA"/>
    <w:rsid w:val="00027B4D"/>
    <w:rsid w:val="000303BC"/>
    <w:rsid w:val="000306CC"/>
    <w:rsid w:val="00030775"/>
    <w:rsid w:val="00030867"/>
    <w:rsid w:val="00030EB9"/>
    <w:rsid w:val="00030F65"/>
    <w:rsid w:val="000311CF"/>
    <w:rsid w:val="000316C7"/>
    <w:rsid w:val="000319C5"/>
    <w:rsid w:val="00031B74"/>
    <w:rsid w:val="00031D66"/>
    <w:rsid w:val="0003222C"/>
    <w:rsid w:val="000324A8"/>
    <w:rsid w:val="00032640"/>
    <w:rsid w:val="000326E5"/>
    <w:rsid w:val="00032F12"/>
    <w:rsid w:val="0003321D"/>
    <w:rsid w:val="00033351"/>
    <w:rsid w:val="00033A5B"/>
    <w:rsid w:val="00033BF9"/>
    <w:rsid w:val="00033DDA"/>
    <w:rsid w:val="00033E61"/>
    <w:rsid w:val="00033F87"/>
    <w:rsid w:val="00034BE1"/>
    <w:rsid w:val="000355E7"/>
    <w:rsid w:val="00035614"/>
    <w:rsid w:val="00035692"/>
    <w:rsid w:val="00035ABD"/>
    <w:rsid w:val="00035D68"/>
    <w:rsid w:val="00035F25"/>
    <w:rsid w:val="000360ED"/>
    <w:rsid w:val="0003646E"/>
    <w:rsid w:val="00036474"/>
    <w:rsid w:val="00036510"/>
    <w:rsid w:val="0003685F"/>
    <w:rsid w:val="00036A10"/>
    <w:rsid w:val="00036B1C"/>
    <w:rsid w:val="0003706E"/>
    <w:rsid w:val="000370BC"/>
    <w:rsid w:val="000370C7"/>
    <w:rsid w:val="000371EC"/>
    <w:rsid w:val="0003793C"/>
    <w:rsid w:val="00037946"/>
    <w:rsid w:val="00037B72"/>
    <w:rsid w:val="00037D88"/>
    <w:rsid w:val="00037E07"/>
    <w:rsid w:val="00037F7E"/>
    <w:rsid w:val="000404EF"/>
    <w:rsid w:val="00040BAA"/>
    <w:rsid w:val="00040C84"/>
    <w:rsid w:val="00040DBE"/>
    <w:rsid w:val="00041329"/>
    <w:rsid w:val="00041720"/>
    <w:rsid w:val="0004176D"/>
    <w:rsid w:val="0004191E"/>
    <w:rsid w:val="00041AAF"/>
    <w:rsid w:val="00041CA4"/>
    <w:rsid w:val="0004203A"/>
    <w:rsid w:val="000420B4"/>
    <w:rsid w:val="000424D1"/>
    <w:rsid w:val="00042BAC"/>
    <w:rsid w:val="0004346A"/>
    <w:rsid w:val="00043AF9"/>
    <w:rsid w:val="00043E71"/>
    <w:rsid w:val="00044066"/>
    <w:rsid w:val="00044358"/>
    <w:rsid w:val="000447DD"/>
    <w:rsid w:val="000448AE"/>
    <w:rsid w:val="00044ED0"/>
    <w:rsid w:val="00045A15"/>
    <w:rsid w:val="00045FD0"/>
    <w:rsid w:val="00046120"/>
    <w:rsid w:val="0004635A"/>
    <w:rsid w:val="000463DE"/>
    <w:rsid w:val="0004642E"/>
    <w:rsid w:val="00046A25"/>
    <w:rsid w:val="00046E53"/>
    <w:rsid w:val="00046EFF"/>
    <w:rsid w:val="00047174"/>
    <w:rsid w:val="00047334"/>
    <w:rsid w:val="000477EF"/>
    <w:rsid w:val="00050048"/>
    <w:rsid w:val="00050640"/>
    <w:rsid w:val="00050CED"/>
    <w:rsid w:val="00050D06"/>
    <w:rsid w:val="00050D2D"/>
    <w:rsid w:val="00050D75"/>
    <w:rsid w:val="00051142"/>
    <w:rsid w:val="0005166D"/>
    <w:rsid w:val="00051B35"/>
    <w:rsid w:val="00051CD4"/>
    <w:rsid w:val="00051D53"/>
    <w:rsid w:val="00051F97"/>
    <w:rsid w:val="0005224C"/>
    <w:rsid w:val="00052460"/>
    <w:rsid w:val="0005262F"/>
    <w:rsid w:val="000526D5"/>
    <w:rsid w:val="000527A7"/>
    <w:rsid w:val="000531F1"/>
    <w:rsid w:val="000538DD"/>
    <w:rsid w:val="00053A8E"/>
    <w:rsid w:val="00053ADA"/>
    <w:rsid w:val="00053C78"/>
    <w:rsid w:val="00054148"/>
    <w:rsid w:val="000543B9"/>
    <w:rsid w:val="0005448B"/>
    <w:rsid w:val="00054599"/>
    <w:rsid w:val="00054754"/>
    <w:rsid w:val="00054828"/>
    <w:rsid w:val="0005486F"/>
    <w:rsid w:val="000550D5"/>
    <w:rsid w:val="00055221"/>
    <w:rsid w:val="000553BC"/>
    <w:rsid w:val="00055547"/>
    <w:rsid w:val="00055AF3"/>
    <w:rsid w:val="00055B43"/>
    <w:rsid w:val="00055F58"/>
    <w:rsid w:val="000560D5"/>
    <w:rsid w:val="000561CF"/>
    <w:rsid w:val="00056361"/>
    <w:rsid w:val="000569D3"/>
    <w:rsid w:val="00056BD3"/>
    <w:rsid w:val="00056ED7"/>
    <w:rsid w:val="000573EE"/>
    <w:rsid w:val="00060103"/>
    <w:rsid w:val="0006031E"/>
    <w:rsid w:val="00060676"/>
    <w:rsid w:val="00060D06"/>
    <w:rsid w:val="00060DB0"/>
    <w:rsid w:val="000610A6"/>
    <w:rsid w:val="000612E9"/>
    <w:rsid w:val="00061626"/>
    <w:rsid w:val="000616B2"/>
    <w:rsid w:val="000618C0"/>
    <w:rsid w:val="00061ECA"/>
    <w:rsid w:val="00061F41"/>
    <w:rsid w:val="00061F44"/>
    <w:rsid w:val="0006210C"/>
    <w:rsid w:val="00062F09"/>
    <w:rsid w:val="000630F0"/>
    <w:rsid w:val="000632AE"/>
    <w:rsid w:val="00063684"/>
    <w:rsid w:val="00063A67"/>
    <w:rsid w:val="00063C43"/>
    <w:rsid w:val="000643AD"/>
    <w:rsid w:val="00064A71"/>
    <w:rsid w:val="00064C4B"/>
    <w:rsid w:val="000659C1"/>
    <w:rsid w:val="00065C9A"/>
    <w:rsid w:val="00065CF5"/>
    <w:rsid w:val="00066039"/>
    <w:rsid w:val="0006635C"/>
    <w:rsid w:val="00066BC6"/>
    <w:rsid w:val="00066DF0"/>
    <w:rsid w:val="000670F2"/>
    <w:rsid w:val="00067262"/>
    <w:rsid w:val="0006733B"/>
    <w:rsid w:val="00070A30"/>
    <w:rsid w:val="00070D99"/>
    <w:rsid w:val="00071377"/>
    <w:rsid w:val="00071637"/>
    <w:rsid w:val="00071719"/>
    <w:rsid w:val="000721EB"/>
    <w:rsid w:val="000726F3"/>
    <w:rsid w:val="000727F2"/>
    <w:rsid w:val="00072805"/>
    <w:rsid w:val="0007298B"/>
    <w:rsid w:val="0007314C"/>
    <w:rsid w:val="000731A9"/>
    <w:rsid w:val="00073424"/>
    <w:rsid w:val="00073ADB"/>
    <w:rsid w:val="00073EB0"/>
    <w:rsid w:val="00073FAC"/>
    <w:rsid w:val="00074C49"/>
    <w:rsid w:val="00074EA0"/>
    <w:rsid w:val="00074F6F"/>
    <w:rsid w:val="0007677A"/>
    <w:rsid w:val="00076D2D"/>
    <w:rsid w:val="00076D72"/>
    <w:rsid w:val="00076E90"/>
    <w:rsid w:val="000770A5"/>
    <w:rsid w:val="0007731F"/>
    <w:rsid w:val="00077A40"/>
    <w:rsid w:val="00077C16"/>
    <w:rsid w:val="00080125"/>
    <w:rsid w:val="00080C87"/>
    <w:rsid w:val="00081009"/>
    <w:rsid w:val="000812BC"/>
    <w:rsid w:val="000814B1"/>
    <w:rsid w:val="0008191B"/>
    <w:rsid w:val="00081985"/>
    <w:rsid w:val="00081BEC"/>
    <w:rsid w:val="00081C37"/>
    <w:rsid w:val="00082499"/>
    <w:rsid w:val="00082899"/>
    <w:rsid w:val="00082D9E"/>
    <w:rsid w:val="000833D5"/>
    <w:rsid w:val="00083CC4"/>
    <w:rsid w:val="00083E2A"/>
    <w:rsid w:val="0008445F"/>
    <w:rsid w:val="000844E4"/>
    <w:rsid w:val="00084741"/>
    <w:rsid w:val="000848FD"/>
    <w:rsid w:val="000850CC"/>
    <w:rsid w:val="000859AF"/>
    <w:rsid w:val="00085AF3"/>
    <w:rsid w:val="00085D48"/>
    <w:rsid w:val="00086BC8"/>
    <w:rsid w:val="00086D3D"/>
    <w:rsid w:val="00086FF0"/>
    <w:rsid w:val="000871F3"/>
    <w:rsid w:val="00087238"/>
    <w:rsid w:val="000873B4"/>
    <w:rsid w:val="00087864"/>
    <w:rsid w:val="00090B67"/>
    <w:rsid w:val="00090CA6"/>
    <w:rsid w:val="00090EA3"/>
    <w:rsid w:val="000910A0"/>
    <w:rsid w:val="000911B0"/>
    <w:rsid w:val="0009152A"/>
    <w:rsid w:val="000919E0"/>
    <w:rsid w:val="00092A55"/>
    <w:rsid w:val="0009306A"/>
    <w:rsid w:val="0009333A"/>
    <w:rsid w:val="0009396B"/>
    <w:rsid w:val="00093A74"/>
    <w:rsid w:val="000940B6"/>
    <w:rsid w:val="00094190"/>
    <w:rsid w:val="0009467C"/>
    <w:rsid w:val="00094A1B"/>
    <w:rsid w:val="000953DB"/>
    <w:rsid w:val="00095873"/>
    <w:rsid w:val="00095E98"/>
    <w:rsid w:val="00095EEC"/>
    <w:rsid w:val="00096028"/>
    <w:rsid w:val="00096252"/>
    <w:rsid w:val="00096923"/>
    <w:rsid w:val="00096928"/>
    <w:rsid w:val="00096AA3"/>
    <w:rsid w:val="00096BE9"/>
    <w:rsid w:val="00097B29"/>
    <w:rsid w:val="000A03F5"/>
    <w:rsid w:val="000A1059"/>
    <w:rsid w:val="000A13EB"/>
    <w:rsid w:val="000A14D8"/>
    <w:rsid w:val="000A2236"/>
    <w:rsid w:val="000A2243"/>
    <w:rsid w:val="000A2391"/>
    <w:rsid w:val="000A28A8"/>
    <w:rsid w:val="000A2AB8"/>
    <w:rsid w:val="000A333C"/>
    <w:rsid w:val="000A398B"/>
    <w:rsid w:val="000A417E"/>
    <w:rsid w:val="000A49AB"/>
    <w:rsid w:val="000A4D10"/>
    <w:rsid w:val="000A521B"/>
    <w:rsid w:val="000A57AE"/>
    <w:rsid w:val="000A5AB5"/>
    <w:rsid w:val="000A671C"/>
    <w:rsid w:val="000A73E9"/>
    <w:rsid w:val="000A7A19"/>
    <w:rsid w:val="000A7C78"/>
    <w:rsid w:val="000B0F3B"/>
    <w:rsid w:val="000B1714"/>
    <w:rsid w:val="000B1C7A"/>
    <w:rsid w:val="000B1C98"/>
    <w:rsid w:val="000B1F96"/>
    <w:rsid w:val="000B2490"/>
    <w:rsid w:val="000B27A1"/>
    <w:rsid w:val="000B2BCD"/>
    <w:rsid w:val="000B32A2"/>
    <w:rsid w:val="000B34C5"/>
    <w:rsid w:val="000B382D"/>
    <w:rsid w:val="000B3868"/>
    <w:rsid w:val="000B3A4B"/>
    <w:rsid w:val="000B3C7B"/>
    <w:rsid w:val="000B3E1C"/>
    <w:rsid w:val="000B4029"/>
    <w:rsid w:val="000B4792"/>
    <w:rsid w:val="000B487D"/>
    <w:rsid w:val="000B4A79"/>
    <w:rsid w:val="000B4B83"/>
    <w:rsid w:val="000B4BCD"/>
    <w:rsid w:val="000B4D83"/>
    <w:rsid w:val="000B4F79"/>
    <w:rsid w:val="000B5128"/>
    <w:rsid w:val="000B53DD"/>
    <w:rsid w:val="000B5659"/>
    <w:rsid w:val="000B5AC4"/>
    <w:rsid w:val="000B5B69"/>
    <w:rsid w:val="000B5BEF"/>
    <w:rsid w:val="000B626F"/>
    <w:rsid w:val="000B68D9"/>
    <w:rsid w:val="000B6C23"/>
    <w:rsid w:val="000B729E"/>
    <w:rsid w:val="000B7C49"/>
    <w:rsid w:val="000C008B"/>
    <w:rsid w:val="000C054A"/>
    <w:rsid w:val="000C05D7"/>
    <w:rsid w:val="000C08AA"/>
    <w:rsid w:val="000C0B68"/>
    <w:rsid w:val="000C0C07"/>
    <w:rsid w:val="000C0DDE"/>
    <w:rsid w:val="000C1090"/>
    <w:rsid w:val="000C1345"/>
    <w:rsid w:val="000C14BA"/>
    <w:rsid w:val="000C15EA"/>
    <w:rsid w:val="000C16A9"/>
    <w:rsid w:val="000C1817"/>
    <w:rsid w:val="000C1C7E"/>
    <w:rsid w:val="000C221B"/>
    <w:rsid w:val="000C2556"/>
    <w:rsid w:val="000C2F60"/>
    <w:rsid w:val="000C332E"/>
    <w:rsid w:val="000C34FD"/>
    <w:rsid w:val="000C39FE"/>
    <w:rsid w:val="000C3D97"/>
    <w:rsid w:val="000C43F4"/>
    <w:rsid w:val="000C4921"/>
    <w:rsid w:val="000C50A9"/>
    <w:rsid w:val="000C5332"/>
    <w:rsid w:val="000C57C9"/>
    <w:rsid w:val="000C5AF4"/>
    <w:rsid w:val="000C5B90"/>
    <w:rsid w:val="000C5BC2"/>
    <w:rsid w:val="000C5BDF"/>
    <w:rsid w:val="000C5C57"/>
    <w:rsid w:val="000C5F42"/>
    <w:rsid w:val="000C5FBB"/>
    <w:rsid w:val="000C6648"/>
    <w:rsid w:val="000C687A"/>
    <w:rsid w:val="000C69F2"/>
    <w:rsid w:val="000C6EFA"/>
    <w:rsid w:val="000C758E"/>
    <w:rsid w:val="000C7D08"/>
    <w:rsid w:val="000C7EBC"/>
    <w:rsid w:val="000D060E"/>
    <w:rsid w:val="000D0CEA"/>
    <w:rsid w:val="000D10E9"/>
    <w:rsid w:val="000D15D4"/>
    <w:rsid w:val="000D1635"/>
    <w:rsid w:val="000D21C8"/>
    <w:rsid w:val="000D2377"/>
    <w:rsid w:val="000D2610"/>
    <w:rsid w:val="000D2626"/>
    <w:rsid w:val="000D2999"/>
    <w:rsid w:val="000D2A8A"/>
    <w:rsid w:val="000D3116"/>
    <w:rsid w:val="000D320A"/>
    <w:rsid w:val="000D3B96"/>
    <w:rsid w:val="000D457A"/>
    <w:rsid w:val="000D4A4A"/>
    <w:rsid w:val="000D4A88"/>
    <w:rsid w:val="000D4B89"/>
    <w:rsid w:val="000D4CDC"/>
    <w:rsid w:val="000D5DF8"/>
    <w:rsid w:val="000D6166"/>
    <w:rsid w:val="000D622F"/>
    <w:rsid w:val="000D644E"/>
    <w:rsid w:val="000D65F0"/>
    <w:rsid w:val="000D69B3"/>
    <w:rsid w:val="000D6C7F"/>
    <w:rsid w:val="000D7503"/>
    <w:rsid w:val="000D76A9"/>
    <w:rsid w:val="000D7791"/>
    <w:rsid w:val="000D788B"/>
    <w:rsid w:val="000D7AD3"/>
    <w:rsid w:val="000E0D49"/>
    <w:rsid w:val="000E0F1F"/>
    <w:rsid w:val="000E13BF"/>
    <w:rsid w:val="000E204B"/>
    <w:rsid w:val="000E210F"/>
    <w:rsid w:val="000E26EE"/>
    <w:rsid w:val="000E27A7"/>
    <w:rsid w:val="000E2842"/>
    <w:rsid w:val="000E2AD1"/>
    <w:rsid w:val="000E3002"/>
    <w:rsid w:val="000E31A6"/>
    <w:rsid w:val="000E3226"/>
    <w:rsid w:val="000E36CC"/>
    <w:rsid w:val="000E3CCA"/>
    <w:rsid w:val="000E4C36"/>
    <w:rsid w:val="000E5408"/>
    <w:rsid w:val="000E55A3"/>
    <w:rsid w:val="000E55C5"/>
    <w:rsid w:val="000E564A"/>
    <w:rsid w:val="000E582C"/>
    <w:rsid w:val="000E5933"/>
    <w:rsid w:val="000E6289"/>
    <w:rsid w:val="000E6423"/>
    <w:rsid w:val="000E6550"/>
    <w:rsid w:val="000E6B61"/>
    <w:rsid w:val="000E6B82"/>
    <w:rsid w:val="000E6CCA"/>
    <w:rsid w:val="000E6EFF"/>
    <w:rsid w:val="000E70B6"/>
    <w:rsid w:val="000E74AA"/>
    <w:rsid w:val="000E7622"/>
    <w:rsid w:val="000E7AA4"/>
    <w:rsid w:val="000E7E54"/>
    <w:rsid w:val="000F00D5"/>
    <w:rsid w:val="000F06A1"/>
    <w:rsid w:val="000F1249"/>
    <w:rsid w:val="000F13FC"/>
    <w:rsid w:val="000F1884"/>
    <w:rsid w:val="000F1997"/>
    <w:rsid w:val="000F1A81"/>
    <w:rsid w:val="000F1CAE"/>
    <w:rsid w:val="000F1DB9"/>
    <w:rsid w:val="000F1F48"/>
    <w:rsid w:val="000F228B"/>
    <w:rsid w:val="000F2817"/>
    <w:rsid w:val="000F2E8B"/>
    <w:rsid w:val="000F2FD8"/>
    <w:rsid w:val="000F38B4"/>
    <w:rsid w:val="000F471E"/>
    <w:rsid w:val="000F4E7C"/>
    <w:rsid w:val="000F522E"/>
    <w:rsid w:val="000F582B"/>
    <w:rsid w:val="000F5FF9"/>
    <w:rsid w:val="000F679D"/>
    <w:rsid w:val="000F6B30"/>
    <w:rsid w:val="000F6B7C"/>
    <w:rsid w:val="000F6C37"/>
    <w:rsid w:val="000F6D70"/>
    <w:rsid w:val="000F6E40"/>
    <w:rsid w:val="000F6E63"/>
    <w:rsid w:val="000F7244"/>
    <w:rsid w:val="000F728C"/>
    <w:rsid w:val="000F79BC"/>
    <w:rsid w:val="000F7B76"/>
    <w:rsid w:val="000F7D02"/>
    <w:rsid w:val="0010003C"/>
    <w:rsid w:val="001002FD"/>
    <w:rsid w:val="0010106B"/>
    <w:rsid w:val="001010D5"/>
    <w:rsid w:val="001013FC"/>
    <w:rsid w:val="0010152D"/>
    <w:rsid w:val="001015B7"/>
    <w:rsid w:val="001015FB"/>
    <w:rsid w:val="001019F3"/>
    <w:rsid w:val="00102686"/>
    <w:rsid w:val="00102961"/>
    <w:rsid w:val="00102C5A"/>
    <w:rsid w:val="00102DD0"/>
    <w:rsid w:val="00103021"/>
    <w:rsid w:val="00103334"/>
    <w:rsid w:val="00103452"/>
    <w:rsid w:val="0010380B"/>
    <w:rsid w:val="0010410F"/>
    <w:rsid w:val="001043CF"/>
    <w:rsid w:val="001044E9"/>
    <w:rsid w:val="001045ED"/>
    <w:rsid w:val="001047BF"/>
    <w:rsid w:val="00104851"/>
    <w:rsid w:val="00104AC6"/>
    <w:rsid w:val="0010503A"/>
    <w:rsid w:val="001053B2"/>
    <w:rsid w:val="00105C12"/>
    <w:rsid w:val="0010625F"/>
    <w:rsid w:val="00106275"/>
    <w:rsid w:val="001063B5"/>
    <w:rsid w:val="00106889"/>
    <w:rsid w:val="00110074"/>
    <w:rsid w:val="00110213"/>
    <w:rsid w:val="00110308"/>
    <w:rsid w:val="001105BD"/>
    <w:rsid w:val="00110A1B"/>
    <w:rsid w:val="00110A72"/>
    <w:rsid w:val="00110BBD"/>
    <w:rsid w:val="00110C88"/>
    <w:rsid w:val="00110DEB"/>
    <w:rsid w:val="00110F1C"/>
    <w:rsid w:val="00111121"/>
    <w:rsid w:val="00111172"/>
    <w:rsid w:val="00111697"/>
    <w:rsid w:val="00111AD0"/>
    <w:rsid w:val="00111DAB"/>
    <w:rsid w:val="00112074"/>
    <w:rsid w:val="0011247E"/>
    <w:rsid w:val="00112634"/>
    <w:rsid w:val="0011267F"/>
    <w:rsid w:val="00112B32"/>
    <w:rsid w:val="00112D92"/>
    <w:rsid w:val="00112DEC"/>
    <w:rsid w:val="001133C1"/>
    <w:rsid w:val="00113473"/>
    <w:rsid w:val="001134E8"/>
    <w:rsid w:val="00113500"/>
    <w:rsid w:val="00114244"/>
    <w:rsid w:val="00114447"/>
    <w:rsid w:val="001148D8"/>
    <w:rsid w:val="00114FE2"/>
    <w:rsid w:val="001156C6"/>
    <w:rsid w:val="00115A72"/>
    <w:rsid w:val="00115C43"/>
    <w:rsid w:val="00115F0F"/>
    <w:rsid w:val="00115FF3"/>
    <w:rsid w:val="00116802"/>
    <w:rsid w:val="00116E54"/>
    <w:rsid w:val="00117078"/>
    <w:rsid w:val="00117231"/>
    <w:rsid w:val="001172D5"/>
    <w:rsid w:val="00117528"/>
    <w:rsid w:val="001175F3"/>
    <w:rsid w:val="00117608"/>
    <w:rsid w:val="001176B0"/>
    <w:rsid w:val="001179CD"/>
    <w:rsid w:val="00117C0B"/>
    <w:rsid w:val="00120419"/>
    <w:rsid w:val="00120923"/>
    <w:rsid w:val="001209DA"/>
    <w:rsid w:val="00120A77"/>
    <w:rsid w:val="00120C19"/>
    <w:rsid w:val="00121D65"/>
    <w:rsid w:val="00121D9A"/>
    <w:rsid w:val="001221DF"/>
    <w:rsid w:val="001227A1"/>
    <w:rsid w:val="00122817"/>
    <w:rsid w:val="0012283A"/>
    <w:rsid w:val="00122CA3"/>
    <w:rsid w:val="00122D77"/>
    <w:rsid w:val="00122E5E"/>
    <w:rsid w:val="0012326A"/>
    <w:rsid w:val="001235AB"/>
    <w:rsid w:val="001236E1"/>
    <w:rsid w:val="00123916"/>
    <w:rsid w:val="00123961"/>
    <w:rsid w:val="00123E5C"/>
    <w:rsid w:val="0012468F"/>
    <w:rsid w:val="00124BB3"/>
    <w:rsid w:val="00124E17"/>
    <w:rsid w:val="0012527B"/>
    <w:rsid w:val="001252D2"/>
    <w:rsid w:val="001254BF"/>
    <w:rsid w:val="0012556F"/>
    <w:rsid w:val="0012557B"/>
    <w:rsid w:val="001256DF"/>
    <w:rsid w:val="001258E3"/>
    <w:rsid w:val="00125BEC"/>
    <w:rsid w:val="00125CF4"/>
    <w:rsid w:val="00126902"/>
    <w:rsid w:val="00126A24"/>
    <w:rsid w:val="00126B44"/>
    <w:rsid w:val="00126F89"/>
    <w:rsid w:val="0012750C"/>
    <w:rsid w:val="00127958"/>
    <w:rsid w:val="00127C77"/>
    <w:rsid w:val="00127CFF"/>
    <w:rsid w:val="00127D09"/>
    <w:rsid w:val="001300DF"/>
    <w:rsid w:val="0013053C"/>
    <w:rsid w:val="00130653"/>
    <w:rsid w:val="001307BA"/>
    <w:rsid w:val="0013088B"/>
    <w:rsid w:val="001310E7"/>
    <w:rsid w:val="0013129E"/>
    <w:rsid w:val="00131BBB"/>
    <w:rsid w:val="00132491"/>
    <w:rsid w:val="0013299E"/>
    <w:rsid w:val="00132C0C"/>
    <w:rsid w:val="00132DE5"/>
    <w:rsid w:val="00133577"/>
    <w:rsid w:val="001339E3"/>
    <w:rsid w:val="00133A98"/>
    <w:rsid w:val="0013425C"/>
    <w:rsid w:val="001344C6"/>
    <w:rsid w:val="001348CD"/>
    <w:rsid w:val="00134A1D"/>
    <w:rsid w:val="00134B78"/>
    <w:rsid w:val="00134C53"/>
    <w:rsid w:val="00136732"/>
    <w:rsid w:val="001367A7"/>
    <w:rsid w:val="00136F0D"/>
    <w:rsid w:val="00136FFE"/>
    <w:rsid w:val="00137752"/>
    <w:rsid w:val="001400C1"/>
    <w:rsid w:val="001400C9"/>
    <w:rsid w:val="00140E02"/>
    <w:rsid w:val="00141039"/>
    <w:rsid w:val="001418A8"/>
    <w:rsid w:val="00141C60"/>
    <w:rsid w:val="00141EFC"/>
    <w:rsid w:val="00142236"/>
    <w:rsid w:val="001423EE"/>
    <w:rsid w:val="0014245E"/>
    <w:rsid w:val="00142D90"/>
    <w:rsid w:val="00143273"/>
    <w:rsid w:val="00143309"/>
    <w:rsid w:val="00143EDC"/>
    <w:rsid w:val="00144E8F"/>
    <w:rsid w:val="001452AF"/>
    <w:rsid w:val="001452D8"/>
    <w:rsid w:val="0014530F"/>
    <w:rsid w:val="00145C26"/>
    <w:rsid w:val="00145ED6"/>
    <w:rsid w:val="001466A7"/>
    <w:rsid w:val="00146737"/>
    <w:rsid w:val="0014673B"/>
    <w:rsid w:val="00146DC8"/>
    <w:rsid w:val="0014711E"/>
    <w:rsid w:val="001472DE"/>
    <w:rsid w:val="00147699"/>
    <w:rsid w:val="00147799"/>
    <w:rsid w:val="00147A8A"/>
    <w:rsid w:val="00150131"/>
    <w:rsid w:val="00150369"/>
    <w:rsid w:val="001506A5"/>
    <w:rsid w:val="00151A58"/>
    <w:rsid w:val="00151BC3"/>
    <w:rsid w:val="001528B2"/>
    <w:rsid w:val="00152938"/>
    <w:rsid w:val="00152A08"/>
    <w:rsid w:val="00152C3A"/>
    <w:rsid w:val="00152C7A"/>
    <w:rsid w:val="00152E7E"/>
    <w:rsid w:val="001531CA"/>
    <w:rsid w:val="00153407"/>
    <w:rsid w:val="001535C2"/>
    <w:rsid w:val="001539D2"/>
    <w:rsid w:val="00153DAA"/>
    <w:rsid w:val="00153F75"/>
    <w:rsid w:val="0015460C"/>
    <w:rsid w:val="00154C44"/>
    <w:rsid w:val="00155187"/>
    <w:rsid w:val="0015581B"/>
    <w:rsid w:val="00155AF6"/>
    <w:rsid w:val="00156F4E"/>
    <w:rsid w:val="00157908"/>
    <w:rsid w:val="0015793C"/>
    <w:rsid w:val="00157B3C"/>
    <w:rsid w:val="00160369"/>
    <w:rsid w:val="00160A7D"/>
    <w:rsid w:val="00161723"/>
    <w:rsid w:val="0016176F"/>
    <w:rsid w:val="00161ACA"/>
    <w:rsid w:val="00161D16"/>
    <w:rsid w:val="0016214E"/>
    <w:rsid w:val="00162345"/>
    <w:rsid w:val="00162D33"/>
    <w:rsid w:val="00162E72"/>
    <w:rsid w:val="0016310D"/>
    <w:rsid w:val="00163133"/>
    <w:rsid w:val="0016351F"/>
    <w:rsid w:val="00163529"/>
    <w:rsid w:val="00163D20"/>
    <w:rsid w:val="00163E09"/>
    <w:rsid w:val="00164023"/>
    <w:rsid w:val="001640D3"/>
    <w:rsid w:val="00164330"/>
    <w:rsid w:val="001646B9"/>
    <w:rsid w:val="0016480D"/>
    <w:rsid w:val="00164E32"/>
    <w:rsid w:val="001653FC"/>
    <w:rsid w:val="0016547F"/>
    <w:rsid w:val="001656BE"/>
    <w:rsid w:val="00165EF2"/>
    <w:rsid w:val="001662A8"/>
    <w:rsid w:val="00166385"/>
    <w:rsid w:val="0016644D"/>
    <w:rsid w:val="00166561"/>
    <w:rsid w:val="001666F2"/>
    <w:rsid w:val="00166F45"/>
    <w:rsid w:val="00167A5A"/>
    <w:rsid w:val="00167DE2"/>
    <w:rsid w:val="00167F23"/>
    <w:rsid w:val="00170551"/>
    <w:rsid w:val="0017081A"/>
    <w:rsid w:val="00170B30"/>
    <w:rsid w:val="00170EA1"/>
    <w:rsid w:val="00170F9E"/>
    <w:rsid w:val="001717B8"/>
    <w:rsid w:val="001719CF"/>
    <w:rsid w:val="00171B5D"/>
    <w:rsid w:val="00171EE1"/>
    <w:rsid w:val="001722C1"/>
    <w:rsid w:val="001722E6"/>
    <w:rsid w:val="0017232A"/>
    <w:rsid w:val="0017249A"/>
    <w:rsid w:val="00172921"/>
    <w:rsid w:val="00172DD2"/>
    <w:rsid w:val="001730D2"/>
    <w:rsid w:val="00173798"/>
    <w:rsid w:val="0017380D"/>
    <w:rsid w:val="00173BC1"/>
    <w:rsid w:val="00173C9F"/>
    <w:rsid w:val="00174214"/>
    <w:rsid w:val="00174464"/>
    <w:rsid w:val="00174978"/>
    <w:rsid w:val="00174EC3"/>
    <w:rsid w:val="00174EFE"/>
    <w:rsid w:val="00175085"/>
    <w:rsid w:val="001758DE"/>
    <w:rsid w:val="0017597E"/>
    <w:rsid w:val="00175D98"/>
    <w:rsid w:val="00175EEE"/>
    <w:rsid w:val="00175F6B"/>
    <w:rsid w:val="00176116"/>
    <w:rsid w:val="00176169"/>
    <w:rsid w:val="0017681B"/>
    <w:rsid w:val="00176C72"/>
    <w:rsid w:val="00176F62"/>
    <w:rsid w:val="00177188"/>
    <w:rsid w:val="00177755"/>
    <w:rsid w:val="00177AE2"/>
    <w:rsid w:val="00177DBC"/>
    <w:rsid w:val="00177ED1"/>
    <w:rsid w:val="0018004A"/>
    <w:rsid w:val="00181137"/>
    <w:rsid w:val="0018148F"/>
    <w:rsid w:val="00181801"/>
    <w:rsid w:val="00181857"/>
    <w:rsid w:val="00181B00"/>
    <w:rsid w:val="00181BFA"/>
    <w:rsid w:val="0018201D"/>
    <w:rsid w:val="00182979"/>
    <w:rsid w:val="0018297E"/>
    <w:rsid w:val="001829AF"/>
    <w:rsid w:val="00182CCF"/>
    <w:rsid w:val="001830B4"/>
    <w:rsid w:val="001831F9"/>
    <w:rsid w:val="001836E1"/>
    <w:rsid w:val="00183B64"/>
    <w:rsid w:val="00183BD5"/>
    <w:rsid w:val="00184865"/>
    <w:rsid w:val="00184B45"/>
    <w:rsid w:val="00184C8F"/>
    <w:rsid w:val="00184FC5"/>
    <w:rsid w:val="00185018"/>
    <w:rsid w:val="001850B2"/>
    <w:rsid w:val="001851A2"/>
    <w:rsid w:val="00185F0E"/>
    <w:rsid w:val="0018645D"/>
    <w:rsid w:val="00186701"/>
    <w:rsid w:val="00186888"/>
    <w:rsid w:val="001870F5"/>
    <w:rsid w:val="00187221"/>
    <w:rsid w:val="001872B6"/>
    <w:rsid w:val="00187451"/>
    <w:rsid w:val="00187757"/>
    <w:rsid w:val="00187839"/>
    <w:rsid w:val="001905E4"/>
    <w:rsid w:val="001909DE"/>
    <w:rsid w:val="00190AB7"/>
    <w:rsid w:val="00190B6F"/>
    <w:rsid w:val="00190EC1"/>
    <w:rsid w:val="00191153"/>
    <w:rsid w:val="0019178A"/>
    <w:rsid w:val="00191835"/>
    <w:rsid w:val="00191CEB"/>
    <w:rsid w:val="00191ED4"/>
    <w:rsid w:val="00192094"/>
    <w:rsid w:val="001921BB"/>
    <w:rsid w:val="00192300"/>
    <w:rsid w:val="001929DB"/>
    <w:rsid w:val="00192C02"/>
    <w:rsid w:val="0019340C"/>
    <w:rsid w:val="001937B5"/>
    <w:rsid w:val="001938DF"/>
    <w:rsid w:val="00193B57"/>
    <w:rsid w:val="00193EE2"/>
    <w:rsid w:val="001944C0"/>
    <w:rsid w:val="001945FA"/>
    <w:rsid w:val="00194641"/>
    <w:rsid w:val="0019494C"/>
    <w:rsid w:val="001951F6"/>
    <w:rsid w:val="001955E6"/>
    <w:rsid w:val="00195C65"/>
    <w:rsid w:val="00195EDA"/>
    <w:rsid w:val="00195F5D"/>
    <w:rsid w:val="00196225"/>
    <w:rsid w:val="001963DA"/>
    <w:rsid w:val="00196857"/>
    <w:rsid w:val="0019690D"/>
    <w:rsid w:val="00196A25"/>
    <w:rsid w:val="00196C15"/>
    <w:rsid w:val="00196C74"/>
    <w:rsid w:val="00196D0E"/>
    <w:rsid w:val="00196E74"/>
    <w:rsid w:val="001970AB"/>
    <w:rsid w:val="00197259"/>
    <w:rsid w:val="00197416"/>
    <w:rsid w:val="00197CAA"/>
    <w:rsid w:val="00197D18"/>
    <w:rsid w:val="00197DB5"/>
    <w:rsid w:val="00197E61"/>
    <w:rsid w:val="001A0E31"/>
    <w:rsid w:val="001A1778"/>
    <w:rsid w:val="001A1AA8"/>
    <w:rsid w:val="001A1F16"/>
    <w:rsid w:val="001A2466"/>
    <w:rsid w:val="001A24E8"/>
    <w:rsid w:val="001A27C2"/>
    <w:rsid w:val="001A2C34"/>
    <w:rsid w:val="001A2F4D"/>
    <w:rsid w:val="001A35EA"/>
    <w:rsid w:val="001A4BAE"/>
    <w:rsid w:val="001A56A2"/>
    <w:rsid w:val="001A5BBD"/>
    <w:rsid w:val="001A6338"/>
    <w:rsid w:val="001A639C"/>
    <w:rsid w:val="001A655A"/>
    <w:rsid w:val="001A675B"/>
    <w:rsid w:val="001A7172"/>
    <w:rsid w:val="001A793D"/>
    <w:rsid w:val="001A79EB"/>
    <w:rsid w:val="001A7AFB"/>
    <w:rsid w:val="001B0036"/>
    <w:rsid w:val="001B023D"/>
    <w:rsid w:val="001B0A22"/>
    <w:rsid w:val="001B0B7A"/>
    <w:rsid w:val="001B0E53"/>
    <w:rsid w:val="001B10C0"/>
    <w:rsid w:val="001B10C6"/>
    <w:rsid w:val="001B1F78"/>
    <w:rsid w:val="001B1F96"/>
    <w:rsid w:val="001B1FF3"/>
    <w:rsid w:val="001B27B7"/>
    <w:rsid w:val="001B2944"/>
    <w:rsid w:val="001B3336"/>
    <w:rsid w:val="001B3AA7"/>
    <w:rsid w:val="001B3D5E"/>
    <w:rsid w:val="001B40B6"/>
    <w:rsid w:val="001B4ABE"/>
    <w:rsid w:val="001B4E30"/>
    <w:rsid w:val="001B502D"/>
    <w:rsid w:val="001B5370"/>
    <w:rsid w:val="001B545C"/>
    <w:rsid w:val="001B57DD"/>
    <w:rsid w:val="001B5E20"/>
    <w:rsid w:val="001B5ECA"/>
    <w:rsid w:val="001B6134"/>
    <w:rsid w:val="001B62F7"/>
    <w:rsid w:val="001B63A0"/>
    <w:rsid w:val="001B64DE"/>
    <w:rsid w:val="001B69A0"/>
    <w:rsid w:val="001B6AAF"/>
    <w:rsid w:val="001B71A6"/>
    <w:rsid w:val="001B7484"/>
    <w:rsid w:val="001B7501"/>
    <w:rsid w:val="001B76FF"/>
    <w:rsid w:val="001B7CB8"/>
    <w:rsid w:val="001B7EC0"/>
    <w:rsid w:val="001C09D9"/>
    <w:rsid w:val="001C0D9F"/>
    <w:rsid w:val="001C1380"/>
    <w:rsid w:val="001C1973"/>
    <w:rsid w:val="001C1C6E"/>
    <w:rsid w:val="001C1D08"/>
    <w:rsid w:val="001C2128"/>
    <w:rsid w:val="001C28B7"/>
    <w:rsid w:val="001C2FBC"/>
    <w:rsid w:val="001C3145"/>
    <w:rsid w:val="001C3B11"/>
    <w:rsid w:val="001C3B17"/>
    <w:rsid w:val="001C3BE2"/>
    <w:rsid w:val="001C3D20"/>
    <w:rsid w:val="001C4D81"/>
    <w:rsid w:val="001C5007"/>
    <w:rsid w:val="001C5348"/>
    <w:rsid w:val="001C5A9D"/>
    <w:rsid w:val="001C5F24"/>
    <w:rsid w:val="001C5FC7"/>
    <w:rsid w:val="001C6220"/>
    <w:rsid w:val="001C7096"/>
    <w:rsid w:val="001C7107"/>
    <w:rsid w:val="001C79FD"/>
    <w:rsid w:val="001C7BD0"/>
    <w:rsid w:val="001C7D60"/>
    <w:rsid w:val="001D001D"/>
    <w:rsid w:val="001D05BB"/>
    <w:rsid w:val="001D11AE"/>
    <w:rsid w:val="001D1426"/>
    <w:rsid w:val="001D1F80"/>
    <w:rsid w:val="001D251F"/>
    <w:rsid w:val="001D26AE"/>
    <w:rsid w:val="001D27E1"/>
    <w:rsid w:val="001D37DD"/>
    <w:rsid w:val="001D3D03"/>
    <w:rsid w:val="001D403C"/>
    <w:rsid w:val="001D4187"/>
    <w:rsid w:val="001D42AF"/>
    <w:rsid w:val="001D48D4"/>
    <w:rsid w:val="001D4CF2"/>
    <w:rsid w:val="001D562A"/>
    <w:rsid w:val="001D6AE4"/>
    <w:rsid w:val="001D7313"/>
    <w:rsid w:val="001D73E2"/>
    <w:rsid w:val="001D75F1"/>
    <w:rsid w:val="001D7DB6"/>
    <w:rsid w:val="001E0449"/>
    <w:rsid w:val="001E06F3"/>
    <w:rsid w:val="001E0A79"/>
    <w:rsid w:val="001E0D0E"/>
    <w:rsid w:val="001E0F29"/>
    <w:rsid w:val="001E1751"/>
    <w:rsid w:val="001E175C"/>
    <w:rsid w:val="001E1F0A"/>
    <w:rsid w:val="001E222E"/>
    <w:rsid w:val="001E22A1"/>
    <w:rsid w:val="001E24B2"/>
    <w:rsid w:val="001E2A39"/>
    <w:rsid w:val="001E2D56"/>
    <w:rsid w:val="001E2F2F"/>
    <w:rsid w:val="001E35D3"/>
    <w:rsid w:val="001E3996"/>
    <w:rsid w:val="001E3C94"/>
    <w:rsid w:val="001E3DA6"/>
    <w:rsid w:val="001E4F51"/>
    <w:rsid w:val="001E5526"/>
    <w:rsid w:val="001E579F"/>
    <w:rsid w:val="001E592F"/>
    <w:rsid w:val="001E6181"/>
    <w:rsid w:val="001E6365"/>
    <w:rsid w:val="001E6543"/>
    <w:rsid w:val="001E655B"/>
    <w:rsid w:val="001E6753"/>
    <w:rsid w:val="001E6886"/>
    <w:rsid w:val="001E69C2"/>
    <w:rsid w:val="001E6AF4"/>
    <w:rsid w:val="001E6C9E"/>
    <w:rsid w:val="001E6CE3"/>
    <w:rsid w:val="001E6DD7"/>
    <w:rsid w:val="001E74F2"/>
    <w:rsid w:val="001E780A"/>
    <w:rsid w:val="001E7D24"/>
    <w:rsid w:val="001E7F56"/>
    <w:rsid w:val="001F02AB"/>
    <w:rsid w:val="001F0385"/>
    <w:rsid w:val="001F0487"/>
    <w:rsid w:val="001F0587"/>
    <w:rsid w:val="001F0AE8"/>
    <w:rsid w:val="001F15ED"/>
    <w:rsid w:val="001F1DD2"/>
    <w:rsid w:val="001F20B7"/>
    <w:rsid w:val="001F2290"/>
    <w:rsid w:val="001F2933"/>
    <w:rsid w:val="001F2AB3"/>
    <w:rsid w:val="001F2B75"/>
    <w:rsid w:val="001F2CC0"/>
    <w:rsid w:val="001F2E70"/>
    <w:rsid w:val="001F2EC8"/>
    <w:rsid w:val="001F3CBC"/>
    <w:rsid w:val="001F431F"/>
    <w:rsid w:val="001F4537"/>
    <w:rsid w:val="001F4615"/>
    <w:rsid w:val="001F4939"/>
    <w:rsid w:val="001F5157"/>
    <w:rsid w:val="001F5343"/>
    <w:rsid w:val="001F5696"/>
    <w:rsid w:val="001F5D55"/>
    <w:rsid w:val="001F5D9D"/>
    <w:rsid w:val="001F6178"/>
    <w:rsid w:val="001F7144"/>
    <w:rsid w:val="001F71DF"/>
    <w:rsid w:val="001F7839"/>
    <w:rsid w:val="001F79B2"/>
    <w:rsid w:val="001F7C4B"/>
    <w:rsid w:val="002000B2"/>
    <w:rsid w:val="0020011D"/>
    <w:rsid w:val="002001CE"/>
    <w:rsid w:val="0020058C"/>
    <w:rsid w:val="002006BD"/>
    <w:rsid w:val="002007AC"/>
    <w:rsid w:val="002012CB"/>
    <w:rsid w:val="00201FB3"/>
    <w:rsid w:val="00203032"/>
    <w:rsid w:val="00203168"/>
    <w:rsid w:val="00203501"/>
    <w:rsid w:val="002036B1"/>
    <w:rsid w:val="0020387E"/>
    <w:rsid w:val="002040CE"/>
    <w:rsid w:val="0020453C"/>
    <w:rsid w:val="002047EE"/>
    <w:rsid w:val="00204984"/>
    <w:rsid w:val="002049A8"/>
    <w:rsid w:val="00204B01"/>
    <w:rsid w:val="0020502A"/>
    <w:rsid w:val="00205C21"/>
    <w:rsid w:val="00205CA9"/>
    <w:rsid w:val="00205CF7"/>
    <w:rsid w:val="00206491"/>
    <w:rsid w:val="00206D90"/>
    <w:rsid w:val="00206E98"/>
    <w:rsid w:val="00206F45"/>
    <w:rsid w:val="0020738B"/>
    <w:rsid w:val="0020739E"/>
    <w:rsid w:val="002074FD"/>
    <w:rsid w:val="00207541"/>
    <w:rsid w:val="0020785A"/>
    <w:rsid w:val="00210190"/>
    <w:rsid w:val="00210D68"/>
    <w:rsid w:val="00210D96"/>
    <w:rsid w:val="00211124"/>
    <w:rsid w:val="0021144A"/>
    <w:rsid w:val="0021179B"/>
    <w:rsid w:val="00211ABF"/>
    <w:rsid w:val="00211F3D"/>
    <w:rsid w:val="002120AF"/>
    <w:rsid w:val="00212376"/>
    <w:rsid w:val="00212AED"/>
    <w:rsid w:val="00213115"/>
    <w:rsid w:val="00213482"/>
    <w:rsid w:val="002136BD"/>
    <w:rsid w:val="002139A4"/>
    <w:rsid w:val="00213DC3"/>
    <w:rsid w:val="00213F6C"/>
    <w:rsid w:val="0021400E"/>
    <w:rsid w:val="00214BA1"/>
    <w:rsid w:val="00214C4C"/>
    <w:rsid w:val="002168EF"/>
    <w:rsid w:val="002169EB"/>
    <w:rsid w:val="00217077"/>
    <w:rsid w:val="002172E0"/>
    <w:rsid w:val="00217462"/>
    <w:rsid w:val="00217E78"/>
    <w:rsid w:val="00217EC1"/>
    <w:rsid w:val="00220316"/>
    <w:rsid w:val="0022037D"/>
    <w:rsid w:val="0022075D"/>
    <w:rsid w:val="00220A94"/>
    <w:rsid w:val="00220E32"/>
    <w:rsid w:val="0022132C"/>
    <w:rsid w:val="002213FA"/>
    <w:rsid w:val="002217F2"/>
    <w:rsid w:val="00221857"/>
    <w:rsid w:val="002219D0"/>
    <w:rsid w:val="002221A0"/>
    <w:rsid w:val="00222546"/>
    <w:rsid w:val="0022263B"/>
    <w:rsid w:val="002231EB"/>
    <w:rsid w:val="002232E4"/>
    <w:rsid w:val="0022368F"/>
    <w:rsid w:val="00223B9C"/>
    <w:rsid w:val="00223C87"/>
    <w:rsid w:val="0022431B"/>
    <w:rsid w:val="002243DE"/>
    <w:rsid w:val="00224DF8"/>
    <w:rsid w:val="00224EA6"/>
    <w:rsid w:val="0022514E"/>
    <w:rsid w:val="00225B9B"/>
    <w:rsid w:val="002267E4"/>
    <w:rsid w:val="00226A1F"/>
    <w:rsid w:val="00226FE7"/>
    <w:rsid w:val="002270B4"/>
    <w:rsid w:val="0022743F"/>
    <w:rsid w:val="00227596"/>
    <w:rsid w:val="00227615"/>
    <w:rsid w:val="00230E69"/>
    <w:rsid w:val="002312A6"/>
    <w:rsid w:val="00231412"/>
    <w:rsid w:val="00231F93"/>
    <w:rsid w:val="00231FB0"/>
    <w:rsid w:val="00232ABB"/>
    <w:rsid w:val="00232B94"/>
    <w:rsid w:val="0023300F"/>
    <w:rsid w:val="00233629"/>
    <w:rsid w:val="002338C1"/>
    <w:rsid w:val="00233BD3"/>
    <w:rsid w:val="00234000"/>
    <w:rsid w:val="002346F0"/>
    <w:rsid w:val="00234FAF"/>
    <w:rsid w:val="002350C4"/>
    <w:rsid w:val="002350DF"/>
    <w:rsid w:val="002351E8"/>
    <w:rsid w:val="002357F8"/>
    <w:rsid w:val="00235FA9"/>
    <w:rsid w:val="0023644B"/>
    <w:rsid w:val="002365F9"/>
    <w:rsid w:val="002367E3"/>
    <w:rsid w:val="0023691B"/>
    <w:rsid w:val="00236AD3"/>
    <w:rsid w:val="002371A7"/>
    <w:rsid w:val="0023740F"/>
    <w:rsid w:val="00237BC1"/>
    <w:rsid w:val="00237E0C"/>
    <w:rsid w:val="00237F98"/>
    <w:rsid w:val="00240458"/>
    <w:rsid w:val="002408CD"/>
    <w:rsid w:val="002408F5"/>
    <w:rsid w:val="00240950"/>
    <w:rsid w:val="00240A80"/>
    <w:rsid w:val="00240E66"/>
    <w:rsid w:val="00241C4B"/>
    <w:rsid w:val="00241EB3"/>
    <w:rsid w:val="00241F48"/>
    <w:rsid w:val="00242175"/>
    <w:rsid w:val="0024223C"/>
    <w:rsid w:val="002422F4"/>
    <w:rsid w:val="002425B3"/>
    <w:rsid w:val="00242AC2"/>
    <w:rsid w:val="00242E72"/>
    <w:rsid w:val="00243489"/>
    <w:rsid w:val="0024369B"/>
    <w:rsid w:val="00244994"/>
    <w:rsid w:val="00244A62"/>
    <w:rsid w:val="00244C0A"/>
    <w:rsid w:val="00244D1E"/>
    <w:rsid w:val="00244E3F"/>
    <w:rsid w:val="00244FB5"/>
    <w:rsid w:val="002453E4"/>
    <w:rsid w:val="002455FE"/>
    <w:rsid w:val="002457B3"/>
    <w:rsid w:val="00245D6A"/>
    <w:rsid w:val="00246878"/>
    <w:rsid w:val="002468D0"/>
    <w:rsid w:val="00246F3F"/>
    <w:rsid w:val="00246FD5"/>
    <w:rsid w:val="0024715D"/>
    <w:rsid w:val="0024720B"/>
    <w:rsid w:val="00247211"/>
    <w:rsid w:val="00247600"/>
    <w:rsid w:val="0024771B"/>
    <w:rsid w:val="0024786E"/>
    <w:rsid w:val="0025012D"/>
    <w:rsid w:val="00250400"/>
    <w:rsid w:val="002504EE"/>
    <w:rsid w:val="00251071"/>
    <w:rsid w:val="00251351"/>
    <w:rsid w:val="002513A3"/>
    <w:rsid w:val="00251895"/>
    <w:rsid w:val="00251B45"/>
    <w:rsid w:val="00251BF1"/>
    <w:rsid w:val="00251C15"/>
    <w:rsid w:val="002520FA"/>
    <w:rsid w:val="00252670"/>
    <w:rsid w:val="002526C3"/>
    <w:rsid w:val="002526C7"/>
    <w:rsid w:val="0025277E"/>
    <w:rsid w:val="00252B84"/>
    <w:rsid w:val="00252BC1"/>
    <w:rsid w:val="00252BCD"/>
    <w:rsid w:val="00252DB5"/>
    <w:rsid w:val="00253446"/>
    <w:rsid w:val="0025348C"/>
    <w:rsid w:val="002535CD"/>
    <w:rsid w:val="00253945"/>
    <w:rsid w:val="00253A99"/>
    <w:rsid w:val="00254B8F"/>
    <w:rsid w:val="002551A2"/>
    <w:rsid w:val="002555F8"/>
    <w:rsid w:val="0025598E"/>
    <w:rsid w:val="00255AE4"/>
    <w:rsid w:val="00255CFA"/>
    <w:rsid w:val="00255FD0"/>
    <w:rsid w:val="00256271"/>
    <w:rsid w:val="002564E3"/>
    <w:rsid w:val="00256968"/>
    <w:rsid w:val="0025705B"/>
    <w:rsid w:val="002572A9"/>
    <w:rsid w:val="00257359"/>
    <w:rsid w:val="002578BF"/>
    <w:rsid w:val="0026006A"/>
    <w:rsid w:val="00260CC3"/>
    <w:rsid w:val="00261A74"/>
    <w:rsid w:val="00261AEE"/>
    <w:rsid w:val="00262011"/>
    <w:rsid w:val="0026219B"/>
    <w:rsid w:val="00262554"/>
    <w:rsid w:val="0026282F"/>
    <w:rsid w:val="00262935"/>
    <w:rsid w:val="002630D2"/>
    <w:rsid w:val="00263491"/>
    <w:rsid w:val="0026374F"/>
    <w:rsid w:val="00263B5E"/>
    <w:rsid w:val="00263C79"/>
    <w:rsid w:val="00263D1C"/>
    <w:rsid w:val="00263D1F"/>
    <w:rsid w:val="00263F44"/>
    <w:rsid w:val="00263FDE"/>
    <w:rsid w:val="0026409B"/>
    <w:rsid w:val="002641FC"/>
    <w:rsid w:val="00264A93"/>
    <w:rsid w:val="00264C93"/>
    <w:rsid w:val="00264CE7"/>
    <w:rsid w:val="00265155"/>
    <w:rsid w:val="002652E0"/>
    <w:rsid w:val="0026552A"/>
    <w:rsid w:val="002665CB"/>
    <w:rsid w:val="00266688"/>
    <w:rsid w:val="002667A5"/>
    <w:rsid w:val="00266923"/>
    <w:rsid w:val="00266B82"/>
    <w:rsid w:val="00267243"/>
    <w:rsid w:val="002672F3"/>
    <w:rsid w:val="00267332"/>
    <w:rsid w:val="0026735A"/>
    <w:rsid w:val="002679A3"/>
    <w:rsid w:val="00267A47"/>
    <w:rsid w:val="0027012E"/>
    <w:rsid w:val="00270261"/>
    <w:rsid w:val="0027029F"/>
    <w:rsid w:val="0027035A"/>
    <w:rsid w:val="002707D6"/>
    <w:rsid w:val="00270A62"/>
    <w:rsid w:val="00270B2C"/>
    <w:rsid w:val="002711A9"/>
    <w:rsid w:val="00271BC2"/>
    <w:rsid w:val="00271C83"/>
    <w:rsid w:val="002720E3"/>
    <w:rsid w:val="002728CE"/>
    <w:rsid w:val="00272B87"/>
    <w:rsid w:val="00273187"/>
    <w:rsid w:val="002731B2"/>
    <w:rsid w:val="00273DBB"/>
    <w:rsid w:val="002741A2"/>
    <w:rsid w:val="002742C2"/>
    <w:rsid w:val="002745FD"/>
    <w:rsid w:val="002747EC"/>
    <w:rsid w:val="0027483C"/>
    <w:rsid w:val="00274F0F"/>
    <w:rsid w:val="00275167"/>
    <w:rsid w:val="002751E2"/>
    <w:rsid w:val="0027527A"/>
    <w:rsid w:val="0027566F"/>
    <w:rsid w:val="00275942"/>
    <w:rsid w:val="00275CEE"/>
    <w:rsid w:val="00275D47"/>
    <w:rsid w:val="00275FE0"/>
    <w:rsid w:val="002760DB"/>
    <w:rsid w:val="00276223"/>
    <w:rsid w:val="00276490"/>
    <w:rsid w:val="002765CE"/>
    <w:rsid w:val="00276806"/>
    <w:rsid w:val="0027685B"/>
    <w:rsid w:val="002769F1"/>
    <w:rsid w:val="00276A97"/>
    <w:rsid w:val="00276B2A"/>
    <w:rsid w:val="0027708A"/>
    <w:rsid w:val="0027712C"/>
    <w:rsid w:val="0027715D"/>
    <w:rsid w:val="002771E1"/>
    <w:rsid w:val="002775D9"/>
    <w:rsid w:val="00277943"/>
    <w:rsid w:val="0028034E"/>
    <w:rsid w:val="0028177B"/>
    <w:rsid w:val="00281AEF"/>
    <w:rsid w:val="00282059"/>
    <w:rsid w:val="002822E4"/>
    <w:rsid w:val="00282568"/>
    <w:rsid w:val="00282830"/>
    <w:rsid w:val="002831B6"/>
    <w:rsid w:val="0028398D"/>
    <w:rsid w:val="002846D2"/>
    <w:rsid w:val="002848B1"/>
    <w:rsid w:val="00284F1C"/>
    <w:rsid w:val="00285191"/>
    <w:rsid w:val="00285518"/>
    <w:rsid w:val="0028554E"/>
    <w:rsid w:val="00285727"/>
    <w:rsid w:val="00285C19"/>
    <w:rsid w:val="002861CF"/>
    <w:rsid w:val="00286230"/>
    <w:rsid w:val="00286527"/>
    <w:rsid w:val="0028664B"/>
    <w:rsid w:val="00286C84"/>
    <w:rsid w:val="00286D85"/>
    <w:rsid w:val="002871B1"/>
    <w:rsid w:val="002871D7"/>
    <w:rsid w:val="002873D6"/>
    <w:rsid w:val="002878EB"/>
    <w:rsid w:val="00287DF0"/>
    <w:rsid w:val="002905E8"/>
    <w:rsid w:val="00290CE9"/>
    <w:rsid w:val="002914F1"/>
    <w:rsid w:val="00291B32"/>
    <w:rsid w:val="00291D41"/>
    <w:rsid w:val="00292366"/>
    <w:rsid w:val="002926E3"/>
    <w:rsid w:val="0029272E"/>
    <w:rsid w:val="00292A46"/>
    <w:rsid w:val="00292C22"/>
    <w:rsid w:val="00293AD7"/>
    <w:rsid w:val="00293FE2"/>
    <w:rsid w:val="002941E8"/>
    <w:rsid w:val="002949C9"/>
    <w:rsid w:val="002952EC"/>
    <w:rsid w:val="0029545B"/>
    <w:rsid w:val="002954DD"/>
    <w:rsid w:val="0029571A"/>
    <w:rsid w:val="00295930"/>
    <w:rsid w:val="00295A31"/>
    <w:rsid w:val="00296AE3"/>
    <w:rsid w:val="00297225"/>
    <w:rsid w:val="0029773D"/>
    <w:rsid w:val="002977E8"/>
    <w:rsid w:val="0029798C"/>
    <w:rsid w:val="00297A89"/>
    <w:rsid w:val="002A0144"/>
    <w:rsid w:val="002A033E"/>
    <w:rsid w:val="002A04B8"/>
    <w:rsid w:val="002A0C70"/>
    <w:rsid w:val="002A10EE"/>
    <w:rsid w:val="002A2709"/>
    <w:rsid w:val="002A2985"/>
    <w:rsid w:val="002A2B20"/>
    <w:rsid w:val="002A2B42"/>
    <w:rsid w:val="002A2B54"/>
    <w:rsid w:val="002A2F02"/>
    <w:rsid w:val="002A3C7C"/>
    <w:rsid w:val="002A4139"/>
    <w:rsid w:val="002A41D8"/>
    <w:rsid w:val="002A4AAA"/>
    <w:rsid w:val="002A4E97"/>
    <w:rsid w:val="002A50D9"/>
    <w:rsid w:val="002A51BF"/>
    <w:rsid w:val="002A5418"/>
    <w:rsid w:val="002A5D1B"/>
    <w:rsid w:val="002A5EE9"/>
    <w:rsid w:val="002A6769"/>
    <w:rsid w:val="002A68C7"/>
    <w:rsid w:val="002A6972"/>
    <w:rsid w:val="002A6EF0"/>
    <w:rsid w:val="002A74F1"/>
    <w:rsid w:val="002A7B3C"/>
    <w:rsid w:val="002A7DEA"/>
    <w:rsid w:val="002B0277"/>
    <w:rsid w:val="002B0477"/>
    <w:rsid w:val="002B0560"/>
    <w:rsid w:val="002B0927"/>
    <w:rsid w:val="002B0BD8"/>
    <w:rsid w:val="002B0D47"/>
    <w:rsid w:val="002B10A7"/>
    <w:rsid w:val="002B10B7"/>
    <w:rsid w:val="002B11FC"/>
    <w:rsid w:val="002B12D0"/>
    <w:rsid w:val="002B1B70"/>
    <w:rsid w:val="002B1CB4"/>
    <w:rsid w:val="002B1FA1"/>
    <w:rsid w:val="002B2443"/>
    <w:rsid w:val="002B24CC"/>
    <w:rsid w:val="002B2BE3"/>
    <w:rsid w:val="002B2CCD"/>
    <w:rsid w:val="002B2DA2"/>
    <w:rsid w:val="002B2E1F"/>
    <w:rsid w:val="002B33DE"/>
    <w:rsid w:val="002B34AD"/>
    <w:rsid w:val="002B3643"/>
    <w:rsid w:val="002B3774"/>
    <w:rsid w:val="002B39A8"/>
    <w:rsid w:val="002B3A04"/>
    <w:rsid w:val="002B3CF8"/>
    <w:rsid w:val="002B56EA"/>
    <w:rsid w:val="002B5833"/>
    <w:rsid w:val="002B5B81"/>
    <w:rsid w:val="002B5D96"/>
    <w:rsid w:val="002B5DCF"/>
    <w:rsid w:val="002B5E75"/>
    <w:rsid w:val="002B5FA3"/>
    <w:rsid w:val="002B640C"/>
    <w:rsid w:val="002B68EF"/>
    <w:rsid w:val="002B6945"/>
    <w:rsid w:val="002B6987"/>
    <w:rsid w:val="002B6B15"/>
    <w:rsid w:val="002B6B43"/>
    <w:rsid w:val="002B6B4B"/>
    <w:rsid w:val="002B6E70"/>
    <w:rsid w:val="002B7070"/>
    <w:rsid w:val="002B7441"/>
    <w:rsid w:val="002C04D2"/>
    <w:rsid w:val="002C06A6"/>
    <w:rsid w:val="002C0A5E"/>
    <w:rsid w:val="002C0C66"/>
    <w:rsid w:val="002C15F4"/>
    <w:rsid w:val="002C1707"/>
    <w:rsid w:val="002C17C7"/>
    <w:rsid w:val="002C1E8C"/>
    <w:rsid w:val="002C1ED1"/>
    <w:rsid w:val="002C203C"/>
    <w:rsid w:val="002C2A31"/>
    <w:rsid w:val="002C2ADC"/>
    <w:rsid w:val="002C2CA8"/>
    <w:rsid w:val="002C3725"/>
    <w:rsid w:val="002C3E18"/>
    <w:rsid w:val="002C4810"/>
    <w:rsid w:val="002C485B"/>
    <w:rsid w:val="002C4925"/>
    <w:rsid w:val="002C4D76"/>
    <w:rsid w:val="002C5055"/>
    <w:rsid w:val="002C517F"/>
    <w:rsid w:val="002C5458"/>
    <w:rsid w:val="002C558B"/>
    <w:rsid w:val="002C591B"/>
    <w:rsid w:val="002C5AD0"/>
    <w:rsid w:val="002C5D9C"/>
    <w:rsid w:val="002C5DC8"/>
    <w:rsid w:val="002C6169"/>
    <w:rsid w:val="002C65B6"/>
    <w:rsid w:val="002C66C3"/>
    <w:rsid w:val="002C6893"/>
    <w:rsid w:val="002C7004"/>
    <w:rsid w:val="002C7576"/>
    <w:rsid w:val="002C75D7"/>
    <w:rsid w:val="002C7639"/>
    <w:rsid w:val="002C7704"/>
    <w:rsid w:val="002D00D5"/>
    <w:rsid w:val="002D0C6B"/>
    <w:rsid w:val="002D11B9"/>
    <w:rsid w:val="002D168C"/>
    <w:rsid w:val="002D1902"/>
    <w:rsid w:val="002D1E34"/>
    <w:rsid w:val="002D22E7"/>
    <w:rsid w:val="002D245B"/>
    <w:rsid w:val="002D277A"/>
    <w:rsid w:val="002D27F3"/>
    <w:rsid w:val="002D284D"/>
    <w:rsid w:val="002D2A79"/>
    <w:rsid w:val="002D2B35"/>
    <w:rsid w:val="002D2D4E"/>
    <w:rsid w:val="002D3399"/>
    <w:rsid w:val="002D43C0"/>
    <w:rsid w:val="002D43C5"/>
    <w:rsid w:val="002D4625"/>
    <w:rsid w:val="002D4977"/>
    <w:rsid w:val="002D4E5D"/>
    <w:rsid w:val="002D67DA"/>
    <w:rsid w:val="002D6800"/>
    <w:rsid w:val="002D6E32"/>
    <w:rsid w:val="002D7104"/>
    <w:rsid w:val="002E019F"/>
    <w:rsid w:val="002E01E8"/>
    <w:rsid w:val="002E088D"/>
    <w:rsid w:val="002E08FE"/>
    <w:rsid w:val="002E0A8E"/>
    <w:rsid w:val="002E0B16"/>
    <w:rsid w:val="002E0B90"/>
    <w:rsid w:val="002E1143"/>
    <w:rsid w:val="002E1A4B"/>
    <w:rsid w:val="002E1C38"/>
    <w:rsid w:val="002E2150"/>
    <w:rsid w:val="002E257D"/>
    <w:rsid w:val="002E271D"/>
    <w:rsid w:val="002E2727"/>
    <w:rsid w:val="002E2D33"/>
    <w:rsid w:val="002E2DB5"/>
    <w:rsid w:val="002E31EA"/>
    <w:rsid w:val="002E363E"/>
    <w:rsid w:val="002E41CD"/>
    <w:rsid w:val="002E465F"/>
    <w:rsid w:val="002E51D1"/>
    <w:rsid w:val="002E539E"/>
    <w:rsid w:val="002E53E1"/>
    <w:rsid w:val="002E5416"/>
    <w:rsid w:val="002E57D8"/>
    <w:rsid w:val="002E5BB6"/>
    <w:rsid w:val="002E5DF8"/>
    <w:rsid w:val="002E60F1"/>
    <w:rsid w:val="002E6198"/>
    <w:rsid w:val="002E64D7"/>
    <w:rsid w:val="002E6D17"/>
    <w:rsid w:val="002E7935"/>
    <w:rsid w:val="002E7CC9"/>
    <w:rsid w:val="002F0024"/>
    <w:rsid w:val="002F0C90"/>
    <w:rsid w:val="002F0E75"/>
    <w:rsid w:val="002F0E78"/>
    <w:rsid w:val="002F1450"/>
    <w:rsid w:val="002F16D8"/>
    <w:rsid w:val="002F1AC6"/>
    <w:rsid w:val="002F20E3"/>
    <w:rsid w:val="002F2471"/>
    <w:rsid w:val="002F26B6"/>
    <w:rsid w:val="002F2A8B"/>
    <w:rsid w:val="002F2B69"/>
    <w:rsid w:val="002F2BB4"/>
    <w:rsid w:val="002F37C4"/>
    <w:rsid w:val="002F3F37"/>
    <w:rsid w:val="002F4162"/>
    <w:rsid w:val="002F4B30"/>
    <w:rsid w:val="002F5133"/>
    <w:rsid w:val="002F5675"/>
    <w:rsid w:val="002F571C"/>
    <w:rsid w:val="002F590E"/>
    <w:rsid w:val="002F5A33"/>
    <w:rsid w:val="002F5AFB"/>
    <w:rsid w:val="002F6073"/>
    <w:rsid w:val="002F61E8"/>
    <w:rsid w:val="002F63F7"/>
    <w:rsid w:val="002F649B"/>
    <w:rsid w:val="002F65F2"/>
    <w:rsid w:val="002F6881"/>
    <w:rsid w:val="002F6FFE"/>
    <w:rsid w:val="002F7027"/>
    <w:rsid w:val="002F775D"/>
    <w:rsid w:val="002F7891"/>
    <w:rsid w:val="003003A0"/>
    <w:rsid w:val="00300B1E"/>
    <w:rsid w:val="00301168"/>
    <w:rsid w:val="00301376"/>
    <w:rsid w:val="0030153A"/>
    <w:rsid w:val="00301851"/>
    <w:rsid w:val="003019CA"/>
    <w:rsid w:val="00301C1D"/>
    <w:rsid w:val="0030252A"/>
    <w:rsid w:val="00302E63"/>
    <w:rsid w:val="0030313D"/>
    <w:rsid w:val="00303A8B"/>
    <w:rsid w:val="00303E1D"/>
    <w:rsid w:val="00303EB9"/>
    <w:rsid w:val="00304352"/>
    <w:rsid w:val="00304516"/>
    <w:rsid w:val="00304559"/>
    <w:rsid w:val="00304980"/>
    <w:rsid w:val="0030528D"/>
    <w:rsid w:val="00305651"/>
    <w:rsid w:val="00305984"/>
    <w:rsid w:val="00305997"/>
    <w:rsid w:val="00305D1E"/>
    <w:rsid w:val="00305DDA"/>
    <w:rsid w:val="0030627B"/>
    <w:rsid w:val="003064F6"/>
    <w:rsid w:val="00306DE8"/>
    <w:rsid w:val="00306EE8"/>
    <w:rsid w:val="00306FE3"/>
    <w:rsid w:val="00307219"/>
    <w:rsid w:val="003072D3"/>
    <w:rsid w:val="0030754E"/>
    <w:rsid w:val="00307563"/>
    <w:rsid w:val="003076E6"/>
    <w:rsid w:val="0030791E"/>
    <w:rsid w:val="0030793B"/>
    <w:rsid w:val="00307CCD"/>
    <w:rsid w:val="003102A3"/>
    <w:rsid w:val="00310B15"/>
    <w:rsid w:val="00310BAA"/>
    <w:rsid w:val="00310CD4"/>
    <w:rsid w:val="00310FE6"/>
    <w:rsid w:val="003114FA"/>
    <w:rsid w:val="00311611"/>
    <w:rsid w:val="00311C27"/>
    <w:rsid w:val="00311D57"/>
    <w:rsid w:val="003120CB"/>
    <w:rsid w:val="00312409"/>
    <w:rsid w:val="00312415"/>
    <w:rsid w:val="00312703"/>
    <w:rsid w:val="0031279B"/>
    <w:rsid w:val="0031285E"/>
    <w:rsid w:val="00312A12"/>
    <w:rsid w:val="00312AB8"/>
    <w:rsid w:val="00312C2A"/>
    <w:rsid w:val="00312C48"/>
    <w:rsid w:val="00312E85"/>
    <w:rsid w:val="00312EA3"/>
    <w:rsid w:val="00312F25"/>
    <w:rsid w:val="00312F50"/>
    <w:rsid w:val="003136C3"/>
    <w:rsid w:val="003142D4"/>
    <w:rsid w:val="0031435C"/>
    <w:rsid w:val="003146C9"/>
    <w:rsid w:val="00314799"/>
    <w:rsid w:val="003147A1"/>
    <w:rsid w:val="00314C57"/>
    <w:rsid w:val="00315746"/>
    <w:rsid w:val="00315CD0"/>
    <w:rsid w:val="00316410"/>
    <w:rsid w:val="0031691B"/>
    <w:rsid w:val="00316CBD"/>
    <w:rsid w:val="00317030"/>
    <w:rsid w:val="0031759B"/>
    <w:rsid w:val="00317710"/>
    <w:rsid w:val="0032009F"/>
    <w:rsid w:val="0032011D"/>
    <w:rsid w:val="00320977"/>
    <w:rsid w:val="00320BC4"/>
    <w:rsid w:val="00321241"/>
    <w:rsid w:val="00321374"/>
    <w:rsid w:val="00321F33"/>
    <w:rsid w:val="00322338"/>
    <w:rsid w:val="00322AD2"/>
    <w:rsid w:val="00322C9C"/>
    <w:rsid w:val="00322EAC"/>
    <w:rsid w:val="00322ECB"/>
    <w:rsid w:val="003234BF"/>
    <w:rsid w:val="003234D8"/>
    <w:rsid w:val="003246C3"/>
    <w:rsid w:val="00324869"/>
    <w:rsid w:val="00324A59"/>
    <w:rsid w:val="00324A62"/>
    <w:rsid w:val="00324DED"/>
    <w:rsid w:val="00325614"/>
    <w:rsid w:val="00325BB1"/>
    <w:rsid w:val="00325E96"/>
    <w:rsid w:val="003278BE"/>
    <w:rsid w:val="0032799E"/>
    <w:rsid w:val="00327B2C"/>
    <w:rsid w:val="00330381"/>
    <w:rsid w:val="00330490"/>
    <w:rsid w:val="00330AB1"/>
    <w:rsid w:val="00331689"/>
    <w:rsid w:val="00332295"/>
    <w:rsid w:val="003322D6"/>
    <w:rsid w:val="00332389"/>
    <w:rsid w:val="0033250B"/>
    <w:rsid w:val="003329A1"/>
    <w:rsid w:val="00332A40"/>
    <w:rsid w:val="00332A84"/>
    <w:rsid w:val="00332D04"/>
    <w:rsid w:val="00332E5A"/>
    <w:rsid w:val="00332EA7"/>
    <w:rsid w:val="00333655"/>
    <w:rsid w:val="00333873"/>
    <w:rsid w:val="003339A2"/>
    <w:rsid w:val="00333CFF"/>
    <w:rsid w:val="00334450"/>
    <w:rsid w:val="003346E8"/>
    <w:rsid w:val="00334798"/>
    <w:rsid w:val="003349F2"/>
    <w:rsid w:val="00334AC1"/>
    <w:rsid w:val="00335833"/>
    <w:rsid w:val="00335EA7"/>
    <w:rsid w:val="003363CC"/>
    <w:rsid w:val="003365A7"/>
    <w:rsid w:val="00336777"/>
    <w:rsid w:val="00336AFD"/>
    <w:rsid w:val="00336C5F"/>
    <w:rsid w:val="00336E29"/>
    <w:rsid w:val="00337119"/>
    <w:rsid w:val="00337320"/>
    <w:rsid w:val="003374E0"/>
    <w:rsid w:val="00337E5B"/>
    <w:rsid w:val="003402C4"/>
    <w:rsid w:val="00340638"/>
    <w:rsid w:val="00340DF0"/>
    <w:rsid w:val="0034159E"/>
    <w:rsid w:val="003419F9"/>
    <w:rsid w:val="00341EBE"/>
    <w:rsid w:val="003423E2"/>
    <w:rsid w:val="0034245F"/>
    <w:rsid w:val="0034289D"/>
    <w:rsid w:val="00342CFF"/>
    <w:rsid w:val="00342FC9"/>
    <w:rsid w:val="0034302F"/>
    <w:rsid w:val="00343268"/>
    <w:rsid w:val="00343380"/>
    <w:rsid w:val="00343A78"/>
    <w:rsid w:val="00343B5A"/>
    <w:rsid w:val="00343B9A"/>
    <w:rsid w:val="00343D74"/>
    <w:rsid w:val="00343DBC"/>
    <w:rsid w:val="00343DFC"/>
    <w:rsid w:val="00343E69"/>
    <w:rsid w:val="00343FF4"/>
    <w:rsid w:val="003441F3"/>
    <w:rsid w:val="003445C5"/>
    <w:rsid w:val="003447C7"/>
    <w:rsid w:val="00345271"/>
    <w:rsid w:val="00345434"/>
    <w:rsid w:val="003456B7"/>
    <w:rsid w:val="003457EC"/>
    <w:rsid w:val="003458DE"/>
    <w:rsid w:val="00345ACD"/>
    <w:rsid w:val="00346522"/>
    <w:rsid w:val="003467C4"/>
    <w:rsid w:val="0034690C"/>
    <w:rsid w:val="00346973"/>
    <w:rsid w:val="003473D8"/>
    <w:rsid w:val="00347462"/>
    <w:rsid w:val="00347566"/>
    <w:rsid w:val="00350466"/>
    <w:rsid w:val="003504BC"/>
    <w:rsid w:val="0035057C"/>
    <w:rsid w:val="00350ABC"/>
    <w:rsid w:val="00350D2C"/>
    <w:rsid w:val="003515CF"/>
    <w:rsid w:val="00351726"/>
    <w:rsid w:val="00351D67"/>
    <w:rsid w:val="003520CF"/>
    <w:rsid w:val="0035220C"/>
    <w:rsid w:val="00352481"/>
    <w:rsid w:val="0035295C"/>
    <w:rsid w:val="003532E8"/>
    <w:rsid w:val="003536A4"/>
    <w:rsid w:val="0035414A"/>
    <w:rsid w:val="00354A4D"/>
    <w:rsid w:val="00355198"/>
    <w:rsid w:val="00355238"/>
    <w:rsid w:val="00355B17"/>
    <w:rsid w:val="00355CCB"/>
    <w:rsid w:val="00355F15"/>
    <w:rsid w:val="00355FBF"/>
    <w:rsid w:val="0035620C"/>
    <w:rsid w:val="003569E9"/>
    <w:rsid w:val="00356CE7"/>
    <w:rsid w:val="00356FB6"/>
    <w:rsid w:val="003571B5"/>
    <w:rsid w:val="00357370"/>
    <w:rsid w:val="00357D60"/>
    <w:rsid w:val="00360199"/>
    <w:rsid w:val="00360451"/>
    <w:rsid w:val="00360561"/>
    <w:rsid w:val="0036095B"/>
    <w:rsid w:val="00360B91"/>
    <w:rsid w:val="00361669"/>
    <w:rsid w:val="00361A50"/>
    <w:rsid w:val="00361A97"/>
    <w:rsid w:val="00361B70"/>
    <w:rsid w:val="00362167"/>
    <w:rsid w:val="00362C38"/>
    <w:rsid w:val="00362CDB"/>
    <w:rsid w:val="0036306F"/>
    <w:rsid w:val="0036317A"/>
    <w:rsid w:val="0036324B"/>
    <w:rsid w:val="00363362"/>
    <w:rsid w:val="0036341F"/>
    <w:rsid w:val="0036349B"/>
    <w:rsid w:val="00363587"/>
    <w:rsid w:val="00363741"/>
    <w:rsid w:val="0036376D"/>
    <w:rsid w:val="003640EC"/>
    <w:rsid w:val="0036470B"/>
    <w:rsid w:val="00364CF8"/>
    <w:rsid w:val="00364D31"/>
    <w:rsid w:val="00365269"/>
    <w:rsid w:val="003654CB"/>
    <w:rsid w:val="003659BC"/>
    <w:rsid w:val="00365A3D"/>
    <w:rsid w:val="00365ACE"/>
    <w:rsid w:val="00366698"/>
    <w:rsid w:val="00366716"/>
    <w:rsid w:val="003667AB"/>
    <w:rsid w:val="00366FBB"/>
    <w:rsid w:val="00367CF7"/>
    <w:rsid w:val="00367EEB"/>
    <w:rsid w:val="00367F9B"/>
    <w:rsid w:val="003707CA"/>
    <w:rsid w:val="003708BB"/>
    <w:rsid w:val="00370906"/>
    <w:rsid w:val="00370947"/>
    <w:rsid w:val="003714F0"/>
    <w:rsid w:val="00371663"/>
    <w:rsid w:val="00371A3F"/>
    <w:rsid w:val="00371CA2"/>
    <w:rsid w:val="00371F24"/>
    <w:rsid w:val="00372656"/>
    <w:rsid w:val="003728EB"/>
    <w:rsid w:val="00372D52"/>
    <w:rsid w:val="00373011"/>
    <w:rsid w:val="003731BA"/>
    <w:rsid w:val="00373B7F"/>
    <w:rsid w:val="00374455"/>
    <w:rsid w:val="003748D4"/>
    <w:rsid w:val="00374D0A"/>
    <w:rsid w:val="00375236"/>
    <w:rsid w:val="0037542F"/>
    <w:rsid w:val="00375DE0"/>
    <w:rsid w:val="00376780"/>
    <w:rsid w:val="00376997"/>
    <w:rsid w:val="00376ACF"/>
    <w:rsid w:val="003773FF"/>
    <w:rsid w:val="003777A6"/>
    <w:rsid w:val="003777DE"/>
    <w:rsid w:val="00377DEC"/>
    <w:rsid w:val="003800F4"/>
    <w:rsid w:val="00380347"/>
    <w:rsid w:val="0038040D"/>
    <w:rsid w:val="00380464"/>
    <w:rsid w:val="00380520"/>
    <w:rsid w:val="003807F0"/>
    <w:rsid w:val="00380CAA"/>
    <w:rsid w:val="00381268"/>
    <w:rsid w:val="003815F3"/>
    <w:rsid w:val="00381687"/>
    <w:rsid w:val="003816D6"/>
    <w:rsid w:val="0038224F"/>
    <w:rsid w:val="00382263"/>
    <w:rsid w:val="0038271B"/>
    <w:rsid w:val="00382BDE"/>
    <w:rsid w:val="00382FA6"/>
    <w:rsid w:val="0038306E"/>
    <w:rsid w:val="0038369E"/>
    <w:rsid w:val="003842F2"/>
    <w:rsid w:val="00384938"/>
    <w:rsid w:val="00384DA1"/>
    <w:rsid w:val="00385202"/>
    <w:rsid w:val="00385CCC"/>
    <w:rsid w:val="00386CF9"/>
    <w:rsid w:val="00387169"/>
    <w:rsid w:val="00387857"/>
    <w:rsid w:val="00387A30"/>
    <w:rsid w:val="00387F14"/>
    <w:rsid w:val="003900C2"/>
    <w:rsid w:val="00390701"/>
    <w:rsid w:val="003907E5"/>
    <w:rsid w:val="00390B7A"/>
    <w:rsid w:val="00390DA9"/>
    <w:rsid w:val="0039123C"/>
    <w:rsid w:val="003912CB"/>
    <w:rsid w:val="003913E3"/>
    <w:rsid w:val="00391696"/>
    <w:rsid w:val="003919D2"/>
    <w:rsid w:val="00391AF7"/>
    <w:rsid w:val="00391D3D"/>
    <w:rsid w:val="003923D2"/>
    <w:rsid w:val="003929D1"/>
    <w:rsid w:val="00392A64"/>
    <w:rsid w:val="00393798"/>
    <w:rsid w:val="00393EF1"/>
    <w:rsid w:val="00393FEB"/>
    <w:rsid w:val="0039477E"/>
    <w:rsid w:val="0039554C"/>
    <w:rsid w:val="0039569F"/>
    <w:rsid w:val="003957FC"/>
    <w:rsid w:val="00395C09"/>
    <w:rsid w:val="003960C5"/>
    <w:rsid w:val="003961B0"/>
    <w:rsid w:val="00396853"/>
    <w:rsid w:val="0039694A"/>
    <w:rsid w:val="003A05E8"/>
    <w:rsid w:val="003A1527"/>
    <w:rsid w:val="003A1682"/>
    <w:rsid w:val="003A16E7"/>
    <w:rsid w:val="003A1990"/>
    <w:rsid w:val="003A1E6A"/>
    <w:rsid w:val="003A1F04"/>
    <w:rsid w:val="003A26BC"/>
    <w:rsid w:val="003A29BB"/>
    <w:rsid w:val="003A2F28"/>
    <w:rsid w:val="003A3700"/>
    <w:rsid w:val="003A3747"/>
    <w:rsid w:val="003A4B10"/>
    <w:rsid w:val="003A510E"/>
    <w:rsid w:val="003A5F0B"/>
    <w:rsid w:val="003A5F19"/>
    <w:rsid w:val="003A6246"/>
    <w:rsid w:val="003A68BA"/>
    <w:rsid w:val="003A7147"/>
    <w:rsid w:val="003A7745"/>
    <w:rsid w:val="003A774C"/>
    <w:rsid w:val="003B027F"/>
    <w:rsid w:val="003B055C"/>
    <w:rsid w:val="003B0874"/>
    <w:rsid w:val="003B1325"/>
    <w:rsid w:val="003B183B"/>
    <w:rsid w:val="003B19BE"/>
    <w:rsid w:val="003B19D8"/>
    <w:rsid w:val="003B2280"/>
    <w:rsid w:val="003B22FD"/>
    <w:rsid w:val="003B2A44"/>
    <w:rsid w:val="003B2A6C"/>
    <w:rsid w:val="003B2EEB"/>
    <w:rsid w:val="003B30AF"/>
    <w:rsid w:val="003B30B5"/>
    <w:rsid w:val="003B35CA"/>
    <w:rsid w:val="003B35E4"/>
    <w:rsid w:val="003B36A1"/>
    <w:rsid w:val="003B3700"/>
    <w:rsid w:val="003B3878"/>
    <w:rsid w:val="003B3D81"/>
    <w:rsid w:val="003B3ECF"/>
    <w:rsid w:val="003B4071"/>
    <w:rsid w:val="003B42E3"/>
    <w:rsid w:val="003B43C2"/>
    <w:rsid w:val="003B45CE"/>
    <w:rsid w:val="003B49FA"/>
    <w:rsid w:val="003B50B8"/>
    <w:rsid w:val="003B5401"/>
    <w:rsid w:val="003B5FD2"/>
    <w:rsid w:val="003B60C8"/>
    <w:rsid w:val="003B613C"/>
    <w:rsid w:val="003B6BD3"/>
    <w:rsid w:val="003B6E45"/>
    <w:rsid w:val="003B75CF"/>
    <w:rsid w:val="003B75E7"/>
    <w:rsid w:val="003B79FA"/>
    <w:rsid w:val="003C067D"/>
    <w:rsid w:val="003C08B3"/>
    <w:rsid w:val="003C0955"/>
    <w:rsid w:val="003C0A84"/>
    <w:rsid w:val="003C0FBF"/>
    <w:rsid w:val="003C1E5C"/>
    <w:rsid w:val="003C200D"/>
    <w:rsid w:val="003C23D8"/>
    <w:rsid w:val="003C2AEC"/>
    <w:rsid w:val="003C3174"/>
    <w:rsid w:val="003C34F9"/>
    <w:rsid w:val="003C37B1"/>
    <w:rsid w:val="003C3D25"/>
    <w:rsid w:val="003C3E2C"/>
    <w:rsid w:val="003C40D9"/>
    <w:rsid w:val="003C4C91"/>
    <w:rsid w:val="003C51F5"/>
    <w:rsid w:val="003C52AE"/>
    <w:rsid w:val="003C55F9"/>
    <w:rsid w:val="003C5D70"/>
    <w:rsid w:val="003C6CDB"/>
    <w:rsid w:val="003C6DC4"/>
    <w:rsid w:val="003C71C4"/>
    <w:rsid w:val="003C73C1"/>
    <w:rsid w:val="003C7B2C"/>
    <w:rsid w:val="003C7FBE"/>
    <w:rsid w:val="003D0341"/>
    <w:rsid w:val="003D06D0"/>
    <w:rsid w:val="003D078C"/>
    <w:rsid w:val="003D0ABB"/>
    <w:rsid w:val="003D0E61"/>
    <w:rsid w:val="003D0F5A"/>
    <w:rsid w:val="003D16EB"/>
    <w:rsid w:val="003D18EB"/>
    <w:rsid w:val="003D1EFF"/>
    <w:rsid w:val="003D2173"/>
    <w:rsid w:val="003D217F"/>
    <w:rsid w:val="003D23EB"/>
    <w:rsid w:val="003D24E7"/>
    <w:rsid w:val="003D26AB"/>
    <w:rsid w:val="003D2DC7"/>
    <w:rsid w:val="003D31F5"/>
    <w:rsid w:val="003D339E"/>
    <w:rsid w:val="003D33B0"/>
    <w:rsid w:val="003D33C5"/>
    <w:rsid w:val="003D3D91"/>
    <w:rsid w:val="003D3DBF"/>
    <w:rsid w:val="003D4192"/>
    <w:rsid w:val="003D4681"/>
    <w:rsid w:val="003D4A5E"/>
    <w:rsid w:val="003D4C94"/>
    <w:rsid w:val="003D526B"/>
    <w:rsid w:val="003D5963"/>
    <w:rsid w:val="003D5CED"/>
    <w:rsid w:val="003D6068"/>
    <w:rsid w:val="003D6339"/>
    <w:rsid w:val="003D6E09"/>
    <w:rsid w:val="003D7642"/>
    <w:rsid w:val="003D7875"/>
    <w:rsid w:val="003D7976"/>
    <w:rsid w:val="003D7A24"/>
    <w:rsid w:val="003D7A90"/>
    <w:rsid w:val="003D7CE1"/>
    <w:rsid w:val="003E0195"/>
    <w:rsid w:val="003E03DF"/>
    <w:rsid w:val="003E07E2"/>
    <w:rsid w:val="003E0846"/>
    <w:rsid w:val="003E2149"/>
    <w:rsid w:val="003E2280"/>
    <w:rsid w:val="003E232D"/>
    <w:rsid w:val="003E2C98"/>
    <w:rsid w:val="003E3021"/>
    <w:rsid w:val="003E333C"/>
    <w:rsid w:val="003E33D9"/>
    <w:rsid w:val="003E40E0"/>
    <w:rsid w:val="003E43AE"/>
    <w:rsid w:val="003E4B07"/>
    <w:rsid w:val="003E5129"/>
    <w:rsid w:val="003E560F"/>
    <w:rsid w:val="003E5661"/>
    <w:rsid w:val="003E568F"/>
    <w:rsid w:val="003E5E0C"/>
    <w:rsid w:val="003E627C"/>
    <w:rsid w:val="003E6A12"/>
    <w:rsid w:val="003E74F1"/>
    <w:rsid w:val="003E766C"/>
    <w:rsid w:val="003E77A6"/>
    <w:rsid w:val="003F0195"/>
    <w:rsid w:val="003F0475"/>
    <w:rsid w:val="003F0C69"/>
    <w:rsid w:val="003F1929"/>
    <w:rsid w:val="003F1B0B"/>
    <w:rsid w:val="003F1E25"/>
    <w:rsid w:val="003F1F54"/>
    <w:rsid w:val="003F1F57"/>
    <w:rsid w:val="003F2001"/>
    <w:rsid w:val="003F2095"/>
    <w:rsid w:val="003F24BF"/>
    <w:rsid w:val="003F2799"/>
    <w:rsid w:val="003F2862"/>
    <w:rsid w:val="003F28B8"/>
    <w:rsid w:val="003F2A8B"/>
    <w:rsid w:val="003F34B3"/>
    <w:rsid w:val="003F3BB2"/>
    <w:rsid w:val="003F3CFA"/>
    <w:rsid w:val="003F4746"/>
    <w:rsid w:val="003F4E22"/>
    <w:rsid w:val="003F506F"/>
    <w:rsid w:val="003F514C"/>
    <w:rsid w:val="003F5691"/>
    <w:rsid w:val="003F56EC"/>
    <w:rsid w:val="003F5EA5"/>
    <w:rsid w:val="003F5EAF"/>
    <w:rsid w:val="003F5F93"/>
    <w:rsid w:val="003F61BE"/>
    <w:rsid w:val="003F64DD"/>
    <w:rsid w:val="003F721F"/>
    <w:rsid w:val="003F7763"/>
    <w:rsid w:val="003F7905"/>
    <w:rsid w:val="003F7910"/>
    <w:rsid w:val="003F7E3E"/>
    <w:rsid w:val="003F7EEE"/>
    <w:rsid w:val="003F7FE9"/>
    <w:rsid w:val="004009B8"/>
    <w:rsid w:val="004013A5"/>
    <w:rsid w:val="00401C71"/>
    <w:rsid w:val="00401CE8"/>
    <w:rsid w:val="00401E42"/>
    <w:rsid w:val="0040211B"/>
    <w:rsid w:val="004024F0"/>
    <w:rsid w:val="00402641"/>
    <w:rsid w:val="004026A4"/>
    <w:rsid w:val="00402708"/>
    <w:rsid w:val="00402EEC"/>
    <w:rsid w:val="0040301C"/>
    <w:rsid w:val="0040322F"/>
    <w:rsid w:val="00403286"/>
    <w:rsid w:val="00403E26"/>
    <w:rsid w:val="00404635"/>
    <w:rsid w:val="00404A58"/>
    <w:rsid w:val="00404B28"/>
    <w:rsid w:val="00404C9E"/>
    <w:rsid w:val="00405227"/>
    <w:rsid w:val="0040543F"/>
    <w:rsid w:val="004059FF"/>
    <w:rsid w:val="00406372"/>
    <w:rsid w:val="0040656D"/>
    <w:rsid w:val="004072AF"/>
    <w:rsid w:val="00410102"/>
    <w:rsid w:val="00410C47"/>
    <w:rsid w:val="00410D64"/>
    <w:rsid w:val="00411006"/>
    <w:rsid w:val="00411091"/>
    <w:rsid w:val="00411B27"/>
    <w:rsid w:val="00411D89"/>
    <w:rsid w:val="004126F9"/>
    <w:rsid w:val="0041306D"/>
    <w:rsid w:val="00413950"/>
    <w:rsid w:val="0041487D"/>
    <w:rsid w:val="00414B74"/>
    <w:rsid w:val="00414BBF"/>
    <w:rsid w:val="00414C7C"/>
    <w:rsid w:val="00414F26"/>
    <w:rsid w:val="00415111"/>
    <w:rsid w:val="004153E8"/>
    <w:rsid w:val="0041561D"/>
    <w:rsid w:val="004157B5"/>
    <w:rsid w:val="004158D0"/>
    <w:rsid w:val="00415B7A"/>
    <w:rsid w:val="00415C6B"/>
    <w:rsid w:val="004163AB"/>
    <w:rsid w:val="0041680E"/>
    <w:rsid w:val="00416B4E"/>
    <w:rsid w:val="00416C3F"/>
    <w:rsid w:val="00417460"/>
    <w:rsid w:val="0041748C"/>
    <w:rsid w:val="00417A52"/>
    <w:rsid w:val="004206DA"/>
    <w:rsid w:val="00420C7B"/>
    <w:rsid w:val="00421081"/>
    <w:rsid w:val="0042171F"/>
    <w:rsid w:val="004217A0"/>
    <w:rsid w:val="0042198F"/>
    <w:rsid w:val="00422B3B"/>
    <w:rsid w:val="004231EF"/>
    <w:rsid w:val="00423330"/>
    <w:rsid w:val="00423359"/>
    <w:rsid w:val="004234C3"/>
    <w:rsid w:val="004239C9"/>
    <w:rsid w:val="0042409C"/>
    <w:rsid w:val="0042454F"/>
    <w:rsid w:val="0042467B"/>
    <w:rsid w:val="0042484D"/>
    <w:rsid w:val="0042494F"/>
    <w:rsid w:val="004250F3"/>
    <w:rsid w:val="004253AF"/>
    <w:rsid w:val="004256AA"/>
    <w:rsid w:val="00425A05"/>
    <w:rsid w:val="00425AD0"/>
    <w:rsid w:val="00425D76"/>
    <w:rsid w:val="00426425"/>
    <w:rsid w:val="00426447"/>
    <w:rsid w:val="004264D3"/>
    <w:rsid w:val="004269BB"/>
    <w:rsid w:val="00426C3F"/>
    <w:rsid w:val="00426D4D"/>
    <w:rsid w:val="0042761C"/>
    <w:rsid w:val="0042775A"/>
    <w:rsid w:val="0042791C"/>
    <w:rsid w:val="00430733"/>
    <w:rsid w:val="00430885"/>
    <w:rsid w:val="0043092A"/>
    <w:rsid w:val="00430A6A"/>
    <w:rsid w:val="00430F81"/>
    <w:rsid w:val="0043115C"/>
    <w:rsid w:val="0043119A"/>
    <w:rsid w:val="00431236"/>
    <w:rsid w:val="004314FC"/>
    <w:rsid w:val="0043154B"/>
    <w:rsid w:val="00431856"/>
    <w:rsid w:val="00431C6C"/>
    <w:rsid w:val="00432820"/>
    <w:rsid w:val="00432C7B"/>
    <w:rsid w:val="004330EF"/>
    <w:rsid w:val="00433168"/>
    <w:rsid w:val="004332BA"/>
    <w:rsid w:val="00433519"/>
    <w:rsid w:val="004335D5"/>
    <w:rsid w:val="00433D6C"/>
    <w:rsid w:val="004341A3"/>
    <w:rsid w:val="0043446C"/>
    <w:rsid w:val="00434C7A"/>
    <w:rsid w:val="00434F80"/>
    <w:rsid w:val="00434FBD"/>
    <w:rsid w:val="00435162"/>
    <w:rsid w:val="004351F8"/>
    <w:rsid w:val="00435361"/>
    <w:rsid w:val="00435535"/>
    <w:rsid w:val="0043582E"/>
    <w:rsid w:val="00436397"/>
    <w:rsid w:val="004366EB"/>
    <w:rsid w:val="00436780"/>
    <w:rsid w:val="00436BA6"/>
    <w:rsid w:val="00436D9D"/>
    <w:rsid w:val="00436DB6"/>
    <w:rsid w:val="00436FE0"/>
    <w:rsid w:val="004377D7"/>
    <w:rsid w:val="004378A2"/>
    <w:rsid w:val="004379D5"/>
    <w:rsid w:val="00437B25"/>
    <w:rsid w:val="00437B87"/>
    <w:rsid w:val="00437FBA"/>
    <w:rsid w:val="004401AE"/>
    <w:rsid w:val="004404A2"/>
    <w:rsid w:val="00440D38"/>
    <w:rsid w:val="00440E56"/>
    <w:rsid w:val="00440F85"/>
    <w:rsid w:val="00441256"/>
    <w:rsid w:val="00441356"/>
    <w:rsid w:val="00441580"/>
    <w:rsid w:val="00441838"/>
    <w:rsid w:val="00441FAC"/>
    <w:rsid w:val="0044210C"/>
    <w:rsid w:val="004421FB"/>
    <w:rsid w:val="004422E0"/>
    <w:rsid w:val="00442353"/>
    <w:rsid w:val="004424A4"/>
    <w:rsid w:val="004426A7"/>
    <w:rsid w:val="00443709"/>
    <w:rsid w:val="0044399A"/>
    <w:rsid w:val="004439FE"/>
    <w:rsid w:val="00443AEC"/>
    <w:rsid w:val="00443FF2"/>
    <w:rsid w:val="00444105"/>
    <w:rsid w:val="004445C1"/>
    <w:rsid w:val="00444A79"/>
    <w:rsid w:val="00445048"/>
    <w:rsid w:val="004451AE"/>
    <w:rsid w:val="00445C9F"/>
    <w:rsid w:val="00445FB6"/>
    <w:rsid w:val="00446079"/>
    <w:rsid w:val="00446620"/>
    <w:rsid w:val="00446822"/>
    <w:rsid w:val="00446988"/>
    <w:rsid w:val="00446E3F"/>
    <w:rsid w:val="00446EF7"/>
    <w:rsid w:val="004471AF"/>
    <w:rsid w:val="004479B4"/>
    <w:rsid w:val="004500E3"/>
    <w:rsid w:val="00450139"/>
    <w:rsid w:val="004505F8"/>
    <w:rsid w:val="0045086A"/>
    <w:rsid w:val="00450A45"/>
    <w:rsid w:val="00450D5B"/>
    <w:rsid w:val="00450F87"/>
    <w:rsid w:val="0045192D"/>
    <w:rsid w:val="0045208F"/>
    <w:rsid w:val="004522CA"/>
    <w:rsid w:val="0045260C"/>
    <w:rsid w:val="0045286B"/>
    <w:rsid w:val="00452A47"/>
    <w:rsid w:val="00452B93"/>
    <w:rsid w:val="004531C9"/>
    <w:rsid w:val="00453685"/>
    <w:rsid w:val="00453E26"/>
    <w:rsid w:val="00454269"/>
    <w:rsid w:val="00454481"/>
    <w:rsid w:val="0045478B"/>
    <w:rsid w:val="00454C12"/>
    <w:rsid w:val="00454FF5"/>
    <w:rsid w:val="004551AA"/>
    <w:rsid w:val="004552F6"/>
    <w:rsid w:val="0045531B"/>
    <w:rsid w:val="00455445"/>
    <w:rsid w:val="00455E28"/>
    <w:rsid w:val="00455E62"/>
    <w:rsid w:val="004562EB"/>
    <w:rsid w:val="0045673E"/>
    <w:rsid w:val="00456BFC"/>
    <w:rsid w:val="00456C98"/>
    <w:rsid w:val="0045716C"/>
    <w:rsid w:val="004571FA"/>
    <w:rsid w:val="0045727E"/>
    <w:rsid w:val="00457A07"/>
    <w:rsid w:val="00457BF5"/>
    <w:rsid w:val="00457DAB"/>
    <w:rsid w:val="00457F4F"/>
    <w:rsid w:val="00460028"/>
    <w:rsid w:val="0046022F"/>
    <w:rsid w:val="004604B3"/>
    <w:rsid w:val="00460A78"/>
    <w:rsid w:val="00460E53"/>
    <w:rsid w:val="00460F38"/>
    <w:rsid w:val="004615D7"/>
    <w:rsid w:val="00461C93"/>
    <w:rsid w:val="00461F1C"/>
    <w:rsid w:val="00461F5B"/>
    <w:rsid w:val="004625D2"/>
    <w:rsid w:val="00462AA8"/>
    <w:rsid w:val="00462B67"/>
    <w:rsid w:val="00463081"/>
    <w:rsid w:val="0046312C"/>
    <w:rsid w:val="004632FD"/>
    <w:rsid w:val="004637B9"/>
    <w:rsid w:val="004637C6"/>
    <w:rsid w:val="00463934"/>
    <w:rsid w:val="00463AD0"/>
    <w:rsid w:val="00463C7C"/>
    <w:rsid w:val="004640C2"/>
    <w:rsid w:val="00464477"/>
    <w:rsid w:val="00464B34"/>
    <w:rsid w:val="004653A4"/>
    <w:rsid w:val="0046572B"/>
    <w:rsid w:val="00465ABC"/>
    <w:rsid w:val="004669F5"/>
    <w:rsid w:val="00466B72"/>
    <w:rsid w:val="00466D67"/>
    <w:rsid w:val="00466DDE"/>
    <w:rsid w:val="00466F1E"/>
    <w:rsid w:val="00466F35"/>
    <w:rsid w:val="004672BF"/>
    <w:rsid w:val="00467FF0"/>
    <w:rsid w:val="00470D22"/>
    <w:rsid w:val="00470EF2"/>
    <w:rsid w:val="00471232"/>
    <w:rsid w:val="004714D4"/>
    <w:rsid w:val="004715F7"/>
    <w:rsid w:val="0047250D"/>
    <w:rsid w:val="004726A3"/>
    <w:rsid w:val="0047280E"/>
    <w:rsid w:val="0047285D"/>
    <w:rsid w:val="00472860"/>
    <w:rsid w:val="00472921"/>
    <w:rsid w:val="00472DA0"/>
    <w:rsid w:val="00473112"/>
    <w:rsid w:val="00473D07"/>
    <w:rsid w:val="00473F1A"/>
    <w:rsid w:val="004746DA"/>
    <w:rsid w:val="00474ADB"/>
    <w:rsid w:val="00474C60"/>
    <w:rsid w:val="00474E13"/>
    <w:rsid w:val="004759D9"/>
    <w:rsid w:val="00475B80"/>
    <w:rsid w:val="00475D73"/>
    <w:rsid w:val="00475E5D"/>
    <w:rsid w:val="00476523"/>
    <w:rsid w:val="004766FE"/>
    <w:rsid w:val="00476BF5"/>
    <w:rsid w:val="004803DA"/>
    <w:rsid w:val="004804C1"/>
    <w:rsid w:val="004804D5"/>
    <w:rsid w:val="00480AE2"/>
    <w:rsid w:val="00480C03"/>
    <w:rsid w:val="004814E7"/>
    <w:rsid w:val="004817EE"/>
    <w:rsid w:val="004818A5"/>
    <w:rsid w:val="0048197F"/>
    <w:rsid w:val="00481A0C"/>
    <w:rsid w:val="00481DDA"/>
    <w:rsid w:val="00481F84"/>
    <w:rsid w:val="004824AB"/>
    <w:rsid w:val="00482960"/>
    <w:rsid w:val="00483047"/>
    <w:rsid w:val="0048321F"/>
    <w:rsid w:val="004845CB"/>
    <w:rsid w:val="00484AB9"/>
    <w:rsid w:val="00484BEB"/>
    <w:rsid w:val="0048536E"/>
    <w:rsid w:val="004854E4"/>
    <w:rsid w:val="004855E1"/>
    <w:rsid w:val="00485CB6"/>
    <w:rsid w:val="004868D7"/>
    <w:rsid w:val="004869CF"/>
    <w:rsid w:val="00486BDD"/>
    <w:rsid w:val="00486E4D"/>
    <w:rsid w:val="00487372"/>
    <w:rsid w:val="004879D5"/>
    <w:rsid w:val="00487C39"/>
    <w:rsid w:val="00487C4E"/>
    <w:rsid w:val="00487D4E"/>
    <w:rsid w:val="00487FAD"/>
    <w:rsid w:val="00490131"/>
    <w:rsid w:val="004902D4"/>
    <w:rsid w:val="00490C9B"/>
    <w:rsid w:val="00490E49"/>
    <w:rsid w:val="00491251"/>
    <w:rsid w:val="00492672"/>
    <w:rsid w:val="00493F50"/>
    <w:rsid w:val="00493FBB"/>
    <w:rsid w:val="0049408C"/>
    <w:rsid w:val="00494091"/>
    <w:rsid w:val="00494147"/>
    <w:rsid w:val="004943CE"/>
    <w:rsid w:val="0049458B"/>
    <w:rsid w:val="004967B1"/>
    <w:rsid w:val="00496BCD"/>
    <w:rsid w:val="0049707A"/>
    <w:rsid w:val="0049719C"/>
    <w:rsid w:val="0049749F"/>
    <w:rsid w:val="004976A2"/>
    <w:rsid w:val="00497C98"/>
    <w:rsid w:val="004A05BC"/>
    <w:rsid w:val="004A0AA7"/>
    <w:rsid w:val="004A0BA6"/>
    <w:rsid w:val="004A0D28"/>
    <w:rsid w:val="004A105E"/>
    <w:rsid w:val="004A13E8"/>
    <w:rsid w:val="004A1498"/>
    <w:rsid w:val="004A159E"/>
    <w:rsid w:val="004A1605"/>
    <w:rsid w:val="004A1834"/>
    <w:rsid w:val="004A2169"/>
    <w:rsid w:val="004A2190"/>
    <w:rsid w:val="004A2E26"/>
    <w:rsid w:val="004A2E4C"/>
    <w:rsid w:val="004A2E97"/>
    <w:rsid w:val="004A3117"/>
    <w:rsid w:val="004A3A8B"/>
    <w:rsid w:val="004A4095"/>
    <w:rsid w:val="004A457A"/>
    <w:rsid w:val="004A4A27"/>
    <w:rsid w:val="004A4BA8"/>
    <w:rsid w:val="004A4C08"/>
    <w:rsid w:val="004A554F"/>
    <w:rsid w:val="004A55C2"/>
    <w:rsid w:val="004A5733"/>
    <w:rsid w:val="004A58B7"/>
    <w:rsid w:val="004A5E38"/>
    <w:rsid w:val="004A6D7D"/>
    <w:rsid w:val="004A6EAB"/>
    <w:rsid w:val="004A7E80"/>
    <w:rsid w:val="004A7FE1"/>
    <w:rsid w:val="004B0150"/>
    <w:rsid w:val="004B05EE"/>
    <w:rsid w:val="004B0E76"/>
    <w:rsid w:val="004B11B3"/>
    <w:rsid w:val="004B1640"/>
    <w:rsid w:val="004B17DF"/>
    <w:rsid w:val="004B1C17"/>
    <w:rsid w:val="004B2331"/>
    <w:rsid w:val="004B2623"/>
    <w:rsid w:val="004B2B3B"/>
    <w:rsid w:val="004B3109"/>
    <w:rsid w:val="004B3629"/>
    <w:rsid w:val="004B36CE"/>
    <w:rsid w:val="004B3B70"/>
    <w:rsid w:val="004B3FAA"/>
    <w:rsid w:val="004B434A"/>
    <w:rsid w:val="004B4657"/>
    <w:rsid w:val="004B49D7"/>
    <w:rsid w:val="004B4E97"/>
    <w:rsid w:val="004B503C"/>
    <w:rsid w:val="004B540B"/>
    <w:rsid w:val="004B56F7"/>
    <w:rsid w:val="004B5803"/>
    <w:rsid w:val="004B586C"/>
    <w:rsid w:val="004B5F66"/>
    <w:rsid w:val="004B66AE"/>
    <w:rsid w:val="004B69D1"/>
    <w:rsid w:val="004B7244"/>
    <w:rsid w:val="004B7347"/>
    <w:rsid w:val="004B772B"/>
    <w:rsid w:val="004B7B98"/>
    <w:rsid w:val="004B7C77"/>
    <w:rsid w:val="004C0073"/>
    <w:rsid w:val="004C00CC"/>
    <w:rsid w:val="004C07C9"/>
    <w:rsid w:val="004C1535"/>
    <w:rsid w:val="004C1609"/>
    <w:rsid w:val="004C18E4"/>
    <w:rsid w:val="004C194D"/>
    <w:rsid w:val="004C1D0B"/>
    <w:rsid w:val="004C2140"/>
    <w:rsid w:val="004C258E"/>
    <w:rsid w:val="004C2B32"/>
    <w:rsid w:val="004C302C"/>
    <w:rsid w:val="004C318C"/>
    <w:rsid w:val="004C34AE"/>
    <w:rsid w:val="004C354F"/>
    <w:rsid w:val="004C36DC"/>
    <w:rsid w:val="004C37FA"/>
    <w:rsid w:val="004C3BC2"/>
    <w:rsid w:val="004C4123"/>
    <w:rsid w:val="004C4913"/>
    <w:rsid w:val="004C5347"/>
    <w:rsid w:val="004C53ED"/>
    <w:rsid w:val="004C57D3"/>
    <w:rsid w:val="004C5B4F"/>
    <w:rsid w:val="004C5E10"/>
    <w:rsid w:val="004C5EF6"/>
    <w:rsid w:val="004C6510"/>
    <w:rsid w:val="004C6567"/>
    <w:rsid w:val="004C658A"/>
    <w:rsid w:val="004C714E"/>
    <w:rsid w:val="004C778A"/>
    <w:rsid w:val="004C7ACD"/>
    <w:rsid w:val="004C7CCB"/>
    <w:rsid w:val="004D02DF"/>
    <w:rsid w:val="004D047D"/>
    <w:rsid w:val="004D0970"/>
    <w:rsid w:val="004D0A55"/>
    <w:rsid w:val="004D0BDA"/>
    <w:rsid w:val="004D0C15"/>
    <w:rsid w:val="004D0CF0"/>
    <w:rsid w:val="004D0CF5"/>
    <w:rsid w:val="004D0D61"/>
    <w:rsid w:val="004D0EB9"/>
    <w:rsid w:val="004D16EB"/>
    <w:rsid w:val="004D1A7E"/>
    <w:rsid w:val="004D1C02"/>
    <w:rsid w:val="004D1D9D"/>
    <w:rsid w:val="004D1E1F"/>
    <w:rsid w:val="004D1F35"/>
    <w:rsid w:val="004D2084"/>
    <w:rsid w:val="004D2768"/>
    <w:rsid w:val="004D2CAE"/>
    <w:rsid w:val="004D36CE"/>
    <w:rsid w:val="004D41E9"/>
    <w:rsid w:val="004D4469"/>
    <w:rsid w:val="004D47DF"/>
    <w:rsid w:val="004D48D2"/>
    <w:rsid w:val="004D4CCA"/>
    <w:rsid w:val="004D50D6"/>
    <w:rsid w:val="004D5153"/>
    <w:rsid w:val="004D534B"/>
    <w:rsid w:val="004D536E"/>
    <w:rsid w:val="004D5D34"/>
    <w:rsid w:val="004D61A7"/>
    <w:rsid w:val="004D623A"/>
    <w:rsid w:val="004D68AA"/>
    <w:rsid w:val="004D699B"/>
    <w:rsid w:val="004D6AED"/>
    <w:rsid w:val="004D7030"/>
    <w:rsid w:val="004D71D0"/>
    <w:rsid w:val="004D7700"/>
    <w:rsid w:val="004D7A61"/>
    <w:rsid w:val="004E039D"/>
    <w:rsid w:val="004E05D1"/>
    <w:rsid w:val="004E0B50"/>
    <w:rsid w:val="004E0C36"/>
    <w:rsid w:val="004E0CB0"/>
    <w:rsid w:val="004E178D"/>
    <w:rsid w:val="004E19D4"/>
    <w:rsid w:val="004E1D83"/>
    <w:rsid w:val="004E1E2B"/>
    <w:rsid w:val="004E21B5"/>
    <w:rsid w:val="004E2574"/>
    <w:rsid w:val="004E290E"/>
    <w:rsid w:val="004E2A54"/>
    <w:rsid w:val="004E2BE4"/>
    <w:rsid w:val="004E2FBE"/>
    <w:rsid w:val="004E30B1"/>
    <w:rsid w:val="004E3B4B"/>
    <w:rsid w:val="004E3B62"/>
    <w:rsid w:val="004E3ED8"/>
    <w:rsid w:val="004E3F4E"/>
    <w:rsid w:val="004E4063"/>
    <w:rsid w:val="004E42CB"/>
    <w:rsid w:val="004E43E4"/>
    <w:rsid w:val="004E486D"/>
    <w:rsid w:val="004E4889"/>
    <w:rsid w:val="004E4B88"/>
    <w:rsid w:val="004E51B4"/>
    <w:rsid w:val="004E5242"/>
    <w:rsid w:val="004E52CB"/>
    <w:rsid w:val="004E5454"/>
    <w:rsid w:val="004E645F"/>
    <w:rsid w:val="004E67A5"/>
    <w:rsid w:val="004E7278"/>
    <w:rsid w:val="004E7726"/>
    <w:rsid w:val="004E7766"/>
    <w:rsid w:val="004F02A9"/>
    <w:rsid w:val="004F0491"/>
    <w:rsid w:val="004F055F"/>
    <w:rsid w:val="004F0837"/>
    <w:rsid w:val="004F09F4"/>
    <w:rsid w:val="004F0A5D"/>
    <w:rsid w:val="004F0D84"/>
    <w:rsid w:val="004F17C8"/>
    <w:rsid w:val="004F186C"/>
    <w:rsid w:val="004F193D"/>
    <w:rsid w:val="004F1E1E"/>
    <w:rsid w:val="004F2329"/>
    <w:rsid w:val="004F260A"/>
    <w:rsid w:val="004F27BD"/>
    <w:rsid w:val="004F29D9"/>
    <w:rsid w:val="004F2C9A"/>
    <w:rsid w:val="004F2E06"/>
    <w:rsid w:val="004F2E87"/>
    <w:rsid w:val="004F3301"/>
    <w:rsid w:val="004F3696"/>
    <w:rsid w:val="004F3BF0"/>
    <w:rsid w:val="004F3CB8"/>
    <w:rsid w:val="004F43FA"/>
    <w:rsid w:val="004F592A"/>
    <w:rsid w:val="004F5EFC"/>
    <w:rsid w:val="004F620C"/>
    <w:rsid w:val="004F69CA"/>
    <w:rsid w:val="004F70A4"/>
    <w:rsid w:val="004F723D"/>
    <w:rsid w:val="004F7B27"/>
    <w:rsid w:val="004F7C55"/>
    <w:rsid w:val="004F7CFE"/>
    <w:rsid w:val="0050073C"/>
    <w:rsid w:val="00500CB4"/>
    <w:rsid w:val="00500E70"/>
    <w:rsid w:val="00500FA0"/>
    <w:rsid w:val="005012A8"/>
    <w:rsid w:val="0050152E"/>
    <w:rsid w:val="005015A5"/>
    <w:rsid w:val="005015FF"/>
    <w:rsid w:val="00501B4E"/>
    <w:rsid w:val="00501B57"/>
    <w:rsid w:val="00501D75"/>
    <w:rsid w:val="005027AC"/>
    <w:rsid w:val="005032E1"/>
    <w:rsid w:val="00503430"/>
    <w:rsid w:val="0050349A"/>
    <w:rsid w:val="0050367A"/>
    <w:rsid w:val="00503967"/>
    <w:rsid w:val="005039CD"/>
    <w:rsid w:val="00503BDF"/>
    <w:rsid w:val="0050412B"/>
    <w:rsid w:val="00504426"/>
    <w:rsid w:val="0050472A"/>
    <w:rsid w:val="005048CB"/>
    <w:rsid w:val="00505086"/>
    <w:rsid w:val="00505186"/>
    <w:rsid w:val="0050564B"/>
    <w:rsid w:val="00505A3B"/>
    <w:rsid w:val="00505F1B"/>
    <w:rsid w:val="00506009"/>
    <w:rsid w:val="00506193"/>
    <w:rsid w:val="005061BF"/>
    <w:rsid w:val="0050624F"/>
    <w:rsid w:val="00506906"/>
    <w:rsid w:val="00506C76"/>
    <w:rsid w:val="00507229"/>
    <w:rsid w:val="00507369"/>
    <w:rsid w:val="0050774C"/>
    <w:rsid w:val="0050776D"/>
    <w:rsid w:val="00507970"/>
    <w:rsid w:val="005103B3"/>
    <w:rsid w:val="005105FF"/>
    <w:rsid w:val="005109D0"/>
    <w:rsid w:val="00510D3D"/>
    <w:rsid w:val="005114D1"/>
    <w:rsid w:val="00511603"/>
    <w:rsid w:val="00511C5B"/>
    <w:rsid w:val="00511DB3"/>
    <w:rsid w:val="00511FDC"/>
    <w:rsid w:val="0051232C"/>
    <w:rsid w:val="005132F0"/>
    <w:rsid w:val="0051340C"/>
    <w:rsid w:val="00513AC1"/>
    <w:rsid w:val="00514145"/>
    <w:rsid w:val="00514CB5"/>
    <w:rsid w:val="00515141"/>
    <w:rsid w:val="0051528C"/>
    <w:rsid w:val="0051541C"/>
    <w:rsid w:val="005157B3"/>
    <w:rsid w:val="00515D31"/>
    <w:rsid w:val="005164BC"/>
    <w:rsid w:val="00516BA4"/>
    <w:rsid w:val="00516E7F"/>
    <w:rsid w:val="00517543"/>
    <w:rsid w:val="00517EFF"/>
    <w:rsid w:val="00520042"/>
    <w:rsid w:val="0052007F"/>
    <w:rsid w:val="00520577"/>
    <w:rsid w:val="005208B0"/>
    <w:rsid w:val="00520C77"/>
    <w:rsid w:val="00520DFF"/>
    <w:rsid w:val="00520FAC"/>
    <w:rsid w:val="005216A9"/>
    <w:rsid w:val="005223F3"/>
    <w:rsid w:val="005230E9"/>
    <w:rsid w:val="00523AF5"/>
    <w:rsid w:val="00523E26"/>
    <w:rsid w:val="00523F14"/>
    <w:rsid w:val="00524203"/>
    <w:rsid w:val="005244A6"/>
    <w:rsid w:val="00524F3A"/>
    <w:rsid w:val="005250B6"/>
    <w:rsid w:val="00525F9F"/>
    <w:rsid w:val="0052626E"/>
    <w:rsid w:val="005269F1"/>
    <w:rsid w:val="00526DDB"/>
    <w:rsid w:val="00526E01"/>
    <w:rsid w:val="00526E48"/>
    <w:rsid w:val="00526FB4"/>
    <w:rsid w:val="005278A1"/>
    <w:rsid w:val="00530509"/>
    <w:rsid w:val="005306AD"/>
    <w:rsid w:val="00530929"/>
    <w:rsid w:val="00530F0B"/>
    <w:rsid w:val="00530F72"/>
    <w:rsid w:val="00531040"/>
    <w:rsid w:val="005313EA"/>
    <w:rsid w:val="005317BE"/>
    <w:rsid w:val="00531A50"/>
    <w:rsid w:val="00532506"/>
    <w:rsid w:val="005326DB"/>
    <w:rsid w:val="00532886"/>
    <w:rsid w:val="00532D0A"/>
    <w:rsid w:val="005335A7"/>
    <w:rsid w:val="005339F0"/>
    <w:rsid w:val="00533A45"/>
    <w:rsid w:val="005345EC"/>
    <w:rsid w:val="005348F3"/>
    <w:rsid w:val="00534AFB"/>
    <w:rsid w:val="00534B97"/>
    <w:rsid w:val="00534D45"/>
    <w:rsid w:val="00535B9E"/>
    <w:rsid w:val="00535EDD"/>
    <w:rsid w:val="00536426"/>
    <w:rsid w:val="00536723"/>
    <w:rsid w:val="00536AD4"/>
    <w:rsid w:val="00536EDA"/>
    <w:rsid w:val="005370EC"/>
    <w:rsid w:val="00537334"/>
    <w:rsid w:val="0053740A"/>
    <w:rsid w:val="00537495"/>
    <w:rsid w:val="0053788A"/>
    <w:rsid w:val="00537DC3"/>
    <w:rsid w:val="005405E0"/>
    <w:rsid w:val="00540994"/>
    <w:rsid w:val="00540EB9"/>
    <w:rsid w:val="00541D99"/>
    <w:rsid w:val="0054274A"/>
    <w:rsid w:val="00542BC6"/>
    <w:rsid w:val="00542C59"/>
    <w:rsid w:val="00543041"/>
    <w:rsid w:val="0054355E"/>
    <w:rsid w:val="0054357F"/>
    <w:rsid w:val="0054386D"/>
    <w:rsid w:val="005440B0"/>
    <w:rsid w:val="005449B1"/>
    <w:rsid w:val="00544E54"/>
    <w:rsid w:val="0054551F"/>
    <w:rsid w:val="00545882"/>
    <w:rsid w:val="00545FEC"/>
    <w:rsid w:val="00546ABD"/>
    <w:rsid w:val="00547159"/>
    <w:rsid w:val="00547515"/>
    <w:rsid w:val="005478CC"/>
    <w:rsid w:val="00550021"/>
    <w:rsid w:val="005502F8"/>
    <w:rsid w:val="00550574"/>
    <w:rsid w:val="00550608"/>
    <w:rsid w:val="0055068E"/>
    <w:rsid w:val="00550B2F"/>
    <w:rsid w:val="00551C69"/>
    <w:rsid w:val="00551FD3"/>
    <w:rsid w:val="00552909"/>
    <w:rsid w:val="0055318F"/>
    <w:rsid w:val="0055356A"/>
    <w:rsid w:val="00553784"/>
    <w:rsid w:val="00553787"/>
    <w:rsid w:val="005538D2"/>
    <w:rsid w:val="005539DD"/>
    <w:rsid w:val="00553CB2"/>
    <w:rsid w:val="00553CBD"/>
    <w:rsid w:val="00553FDB"/>
    <w:rsid w:val="005545B7"/>
    <w:rsid w:val="005549A1"/>
    <w:rsid w:val="00554BE0"/>
    <w:rsid w:val="00554D29"/>
    <w:rsid w:val="00554EEA"/>
    <w:rsid w:val="00555111"/>
    <w:rsid w:val="00555146"/>
    <w:rsid w:val="00555194"/>
    <w:rsid w:val="005555E7"/>
    <w:rsid w:val="0055569D"/>
    <w:rsid w:val="00555A2A"/>
    <w:rsid w:val="00555AFB"/>
    <w:rsid w:val="00555B0E"/>
    <w:rsid w:val="005562E6"/>
    <w:rsid w:val="00556586"/>
    <w:rsid w:val="00556BD2"/>
    <w:rsid w:val="00556BE0"/>
    <w:rsid w:val="005573F7"/>
    <w:rsid w:val="005574E0"/>
    <w:rsid w:val="00557535"/>
    <w:rsid w:val="005575FE"/>
    <w:rsid w:val="00557EBE"/>
    <w:rsid w:val="00560079"/>
    <w:rsid w:val="005603D5"/>
    <w:rsid w:val="00560CC1"/>
    <w:rsid w:val="00561111"/>
    <w:rsid w:val="00561851"/>
    <w:rsid w:val="00561853"/>
    <w:rsid w:val="0056190C"/>
    <w:rsid w:val="00561C9A"/>
    <w:rsid w:val="00561F1F"/>
    <w:rsid w:val="0056245E"/>
    <w:rsid w:val="0056263B"/>
    <w:rsid w:val="00562D6A"/>
    <w:rsid w:val="00563168"/>
    <w:rsid w:val="00563507"/>
    <w:rsid w:val="00563AD9"/>
    <w:rsid w:val="005642EE"/>
    <w:rsid w:val="00564426"/>
    <w:rsid w:val="0056493E"/>
    <w:rsid w:val="005649E6"/>
    <w:rsid w:val="00564AAB"/>
    <w:rsid w:val="00564ACC"/>
    <w:rsid w:val="00564E2B"/>
    <w:rsid w:val="00564E74"/>
    <w:rsid w:val="00565069"/>
    <w:rsid w:val="0056531E"/>
    <w:rsid w:val="005654CA"/>
    <w:rsid w:val="00565531"/>
    <w:rsid w:val="00565A46"/>
    <w:rsid w:val="005661B4"/>
    <w:rsid w:val="00566602"/>
    <w:rsid w:val="00566868"/>
    <w:rsid w:val="0056723F"/>
    <w:rsid w:val="00567478"/>
    <w:rsid w:val="00567AFC"/>
    <w:rsid w:val="00567B72"/>
    <w:rsid w:val="005700CA"/>
    <w:rsid w:val="0057107E"/>
    <w:rsid w:val="00571194"/>
    <w:rsid w:val="00571626"/>
    <w:rsid w:val="00571C09"/>
    <w:rsid w:val="0057220F"/>
    <w:rsid w:val="0057293F"/>
    <w:rsid w:val="00572FC0"/>
    <w:rsid w:val="00573072"/>
    <w:rsid w:val="00573531"/>
    <w:rsid w:val="005735CD"/>
    <w:rsid w:val="005737CE"/>
    <w:rsid w:val="005738BE"/>
    <w:rsid w:val="00573DCE"/>
    <w:rsid w:val="00574145"/>
    <w:rsid w:val="005741F9"/>
    <w:rsid w:val="00574592"/>
    <w:rsid w:val="00574D1C"/>
    <w:rsid w:val="00575107"/>
    <w:rsid w:val="0057511E"/>
    <w:rsid w:val="00575280"/>
    <w:rsid w:val="005756B5"/>
    <w:rsid w:val="00575B93"/>
    <w:rsid w:val="00575C39"/>
    <w:rsid w:val="00575C3F"/>
    <w:rsid w:val="00576414"/>
    <w:rsid w:val="00576797"/>
    <w:rsid w:val="00576BC3"/>
    <w:rsid w:val="0057713A"/>
    <w:rsid w:val="00577320"/>
    <w:rsid w:val="0057737C"/>
    <w:rsid w:val="005778C2"/>
    <w:rsid w:val="00577D6B"/>
    <w:rsid w:val="00577EC1"/>
    <w:rsid w:val="005804A5"/>
    <w:rsid w:val="00580553"/>
    <w:rsid w:val="005805E4"/>
    <w:rsid w:val="00580616"/>
    <w:rsid w:val="005806A5"/>
    <w:rsid w:val="00580C3C"/>
    <w:rsid w:val="00580FC7"/>
    <w:rsid w:val="005812C4"/>
    <w:rsid w:val="00581530"/>
    <w:rsid w:val="0058153F"/>
    <w:rsid w:val="005817A7"/>
    <w:rsid w:val="00581D22"/>
    <w:rsid w:val="00582402"/>
    <w:rsid w:val="0058272A"/>
    <w:rsid w:val="00582B1B"/>
    <w:rsid w:val="00583CF7"/>
    <w:rsid w:val="00583F6E"/>
    <w:rsid w:val="0058461F"/>
    <w:rsid w:val="00584937"/>
    <w:rsid w:val="00584E36"/>
    <w:rsid w:val="00585153"/>
    <w:rsid w:val="00585777"/>
    <w:rsid w:val="00585C11"/>
    <w:rsid w:val="00585E67"/>
    <w:rsid w:val="005869D8"/>
    <w:rsid w:val="00587254"/>
    <w:rsid w:val="00587798"/>
    <w:rsid w:val="005879D8"/>
    <w:rsid w:val="00587A89"/>
    <w:rsid w:val="00587EB5"/>
    <w:rsid w:val="0059046D"/>
    <w:rsid w:val="00590C6A"/>
    <w:rsid w:val="00591777"/>
    <w:rsid w:val="00591DE3"/>
    <w:rsid w:val="005923D2"/>
    <w:rsid w:val="00592A47"/>
    <w:rsid w:val="00592B8C"/>
    <w:rsid w:val="00592CEB"/>
    <w:rsid w:val="00592E30"/>
    <w:rsid w:val="00593251"/>
    <w:rsid w:val="005936C0"/>
    <w:rsid w:val="00593931"/>
    <w:rsid w:val="00593CB9"/>
    <w:rsid w:val="00594426"/>
    <w:rsid w:val="0059499C"/>
    <w:rsid w:val="00595B72"/>
    <w:rsid w:val="00596048"/>
    <w:rsid w:val="00596F2D"/>
    <w:rsid w:val="00597206"/>
    <w:rsid w:val="005975ED"/>
    <w:rsid w:val="00597990"/>
    <w:rsid w:val="00597AE2"/>
    <w:rsid w:val="005A064A"/>
    <w:rsid w:val="005A0954"/>
    <w:rsid w:val="005A11AE"/>
    <w:rsid w:val="005A1343"/>
    <w:rsid w:val="005A1893"/>
    <w:rsid w:val="005A1933"/>
    <w:rsid w:val="005A237D"/>
    <w:rsid w:val="005A2A28"/>
    <w:rsid w:val="005A34F9"/>
    <w:rsid w:val="005A3523"/>
    <w:rsid w:val="005A3583"/>
    <w:rsid w:val="005A3705"/>
    <w:rsid w:val="005A3850"/>
    <w:rsid w:val="005A38B1"/>
    <w:rsid w:val="005A38CA"/>
    <w:rsid w:val="005A40C1"/>
    <w:rsid w:val="005A4B0A"/>
    <w:rsid w:val="005A4B6F"/>
    <w:rsid w:val="005A4EA0"/>
    <w:rsid w:val="005A527F"/>
    <w:rsid w:val="005A5A94"/>
    <w:rsid w:val="005A6586"/>
    <w:rsid w:val="005A65E5"/>
    <w:rsid w:val="005A6A4E"/>
    <w:rsid w:val="005A6B0B"/>
    <w:rsid w:val="005A6E94"/>
    <w:rsid w:val="005A71A4"/>
    <w:rsid w:val="005A732E"/>
    <w:rsid w:val="005A739F"/>
    <w:rsid w:val="005A7ADC"/>
    <w:rsid w:val="005B01D4"/>
    <w:rsid w:val="005B02D2"/>
    <w:rsid w:val="005B09F2"/>
    <w:rsid w:val="005B0A14"/>
    <w:rsid w:val="005B1275"/>
    <w:rsid w:val="005B1347"/>
    <w:rsid w:val="005B13BE"/>
    <w:rsid w:val="005B1966"/>
    <w:rsid w:val="005B23FE"/>
    <w:rsid w:val="005B2695"/>
    <w:rsid w:val="005B2BE9"/>
    <w:rsid w:val="005B2BF4"/>
    <w:rsid w:val="005B2ED4"/>
    <w:rsid w:val="005B3199"/>
    <w:rsid w:val="005B33B6"/>
    <w:rsid w:val="005B395C"/>
    <w:rsid w:val="005B3EE8"/>
    <w:rsid w:val="005B4151"/>
    <w:rsid w:val="005B4529"/>
    <w:rsid w:val="005B4703"/>
    <w:rsid w:val="005B4906"/>
    <w:rsid w:val="005B4ADB"/>
    <w:rsid w:val="005B4D69"/>
    <w:rsid w:val="005B4D8A"/>
    <w:rsid w:val="005B5592"/>
    <w:rsid w:val="005B5962"/>
    <w:rsid w:val="005B598E"/>
    <w:rsid w:val="005B5A98"/>
    <w:rsid w:val="005B5EC6"/>
    <w:rsid w:val="005B608B"/>
    <w:rsid w:val="005B672C"/>
    <w:rsid w:val="005B68A4"/>
    <w:rsid w:val="005B6DCD"/>
    <w:rsid w:val="005B6FE1"/>
    <w:rsid w:val="005B7300"/>
    <w:rsid w:val="005B79A1"/>
    <w:rsid w:val="005B7DB4"/>
    <w:rsid w:val="005B7E2A"/>
    <w:rsid w:val="005B7EA3"/>
    <w:rsid w:val="005C0596"/>
    <w:rsid w:val="005C08E7"/>
    <w:rsid w:val="005C09B6"/>
    <w:rsid w:val="005C0C49"/>
    <w:rsid w:val="005C11AD"/>
    <w:rsid w:val="005C1F53"/>
    <w:rsid w:val="005C262D"/>
    <w:rsid w:val="005C2946"/>
    <w:rsid w:val="005C300B"/>
    <w:rsid w:val="005C38B7"/>
    <w:rsid w:val="005C3A18"/>
    <w:rsid w:val="005C3E5F"/>
    <w:rsid w:val="005C3E63"/>
    <w:rsid w:val="005C4583"/>
    <w:rsid w:val="005C5144"/>
    <w:rsid w:val="005C569C"/>
    <w:rsid w:val="005C5A06"/>
    <w:rsid w:val="005C5BC5"/>
    <w:rsid w:val="005C5D0D"/>
    <w:rsid w:val="005C6179"/>
    <w:rsid w:val="005C6285"/>
    <w:rsid w:val="005C6743"/>
    <w:rsid w:val="005C6E4E"/>
    <w:rsid w:val="005C7394"/>
    <w:rsid w:val="005C773B"/>
    <w:rsid w:val="005C7B55"/>
    <w:rsid w:val="005C7D93"/>
    <w:rsid w:val="005C7E49"/>
    <w:rsid w:val="005C7EEE"/>
    <w:rsid w:val="005D0536"/>
    <w:rsid w:val="005D0C6C"/>
    <w:rsid w:val="005D0CE0"/>
    <w:rsid w:val="005D0DA2"/>
    <w:rsid w:val="005D0DD0"/>
    <w:rsid w:val="005D0EAD"/>
    <w:rsid w:val="005D1014"/>
    <w:rsid w:val="005D157C"/>
    <w:rsid w:val="005D163A"/>
    <w:rsid w:val="005D19D3"/>
    <w:rsid w:val="005D1E78"/>
    <w:rsid w:val="005D222A"/>
    <w:rsid w:val="005D24E6"/>
    <w:rsid w:val="005D2AB8"/>
    <w:rsid w:val="005D2CEE"/>
    <w:rsid w:val="005D2E33"/>
    <w:rsid w:val="005D2EB6"/>
    <w:rsid w:val="005D3072"/>
    <w:rsid w:val="005D437D"/>
    <w:rsid w:val="005D474E"/>
    <w:rsid w:val="005D49E3"/>
    <w:rsid w:val="005D4D55"/>
    <w:rsid w:val="005D58E2"/>
    <w:rsid w:val="005D59C4"/>
    <w:rsid w:val="005D657D"/>
    <w:rsid w:val="005D69BB"/>
    <w:rsid w:val="005D6AAD"/>
    <w:rsid w:val="005D6B71"/>
    <w:rsid w:val="005D71B1"/>
    <w:rsid w:val="005D726C"/>
    <w:rsid w:val="005D73E9"/>
    <w:rsid w:val="005D7AC2"/>
    <w:rsid w:val="005D7DB6"/>
    <w:rsid w:val="005D7F90"/>
    <w:rsid w:val="005E096E"/>
    <w:rsid w:val="005E0A17"/>
    <w:rsid w:val="005E0F22"/>
    <w:rsid w:val="005E0FE9"/>
    <w:rsid w:val="005E13AF"/>
    <w:rsid w:val="005E161E"/>
    <w:rsid w:val="005E1934"/>
    <w:rsid w:val="005E1CEA"/>
    <w:rsid w:val="005E24DF"/>
    <w:rsid w:val="005E2D12"/>
    <w:rsid w:val="005E321D"/>
    <w:rsid w:val="005E32B6"/>
    <w:rsid w:val="005E3A91"/>
    <w:rsid w:val="005E43F3"/>
    <w:rsid w:val="005E4649"/>
    <w:rsid w:val="005E536F"/>
    <w:rsid w:val="005E54BF"/>
    <w:rsid w:val="005E5725"/>
    <w:rsid w:val="005E588F"/>
    <w:rsid w:val="005E639E"/>
    <w:rsid w:val="005E6DB4"/>
    <w:rsid w:val="005E7095"/>
    <w:rsid w:val="005E761A"/>
    <w:rsid w:val="005E769F"/>
    <w:rsid w:val="005F003D"/>
    <w:rsid w:val="005F010B"/>
    <w:rsid w:val="005F02B7"/>
    <w:rsid w:val="005F0AB7"/>
    <w:rsid w:val="005F12BB"/>
    <w:rsid w:val="005F1721"/>
    <w:rsid w:val="005F1BBA"/>
    <w:rsid w:val="005F227B"/>
    <w:rsid w:val="005F2853"/>
    <w:rsid w:val="005F2B16"/>
    <w:rsid w:val="005F31D3"/>
    <w:rsid w:val="005F3650"/>
    <w:rsid w:val="005F3A93"/>
    <w:rsid w:val="005F40E1"/>
    <w:rsid w:val="005F4205"/>
    <w:rsid w:val="005F42A2"/>
    <w:rsid w:val="005F4738"/>
    <w:rsid w:val="005F4E7F"/>
    <w:rsid w:val="005F520F"/>
    <w:rsid w:val="005F54A6"/>
    <w:rsid w:val="005F5901"/>
    <w:rsid w:val="005F5A13"/>
    <w:rsid w:val="005F5B17"/>
    <w:rsid w:val="005F5B80"/>
    <w:rsid w:val="005F5D69"/>
    <w:rsid w:val="005F5D97"/>
    <w:rsid w:val="005F6141"/>
    <w:rsid w:val="005F6280"/>
    <w:rsid w:val="005F62F0"/>
    <w:rsid w:val="005F6425"/>
    <w:rsid w:val="005F64ED"/>
    <w:rsid w:val="005F6B07"/>
    <w:rsid w:val="005F6D4C"/>
    <w:rsid w:val="005F7B03"/>
    <w:rsid w:val="005F7B81"/>
    <w:rsid w:val="005F7F20"/>
    <w:rsid w:val="005F7F4E"/>
    <w:rsid w:val="00600D57"/>
    <w:rsid w:val="0060137C"/>
    <w:rsid w:val="006013D5"/>
    <w:rsid w:val="0060179E"/>
    <w:rsid w:val="00601AC6"/>
    <w:rsid w:val="00602022"/>
    <w:rsid w:val="00602773"/>
    <w:rsid w:val="00602930"/>
    <w:rsid w:val="00602AF0"/>
    <w:rsid w:val="00602BD0"/>
    <w:rsid w:val="00602DCC"/>
    <w:rsid w:val="00602DEA"/>
    <w:rsid w:val="006031AF"/>
    <w:rsid w:val="0060323D"/>
    <w:rsid w:val="0060370B"/>
    <w:rsid w:val="00603779"/>
    <w:rsid w:val="00603AA7"/>
    <w:rsid w:val="00603ABB"/>
    <w:rsid w:val="00603AFF"/>
    <w:rsid w:val="00603F0E"/>
    <w:rsid w:val="00604118"/>
    <w:rsid w:val="006049BC"/>
    <w:rsid w:val="00605071"/>
    <w:rsid w:val="0060522A"/>
    <w:rsid w:val="006054EE"/>
    <w:rsid w:val="006057E3"/>
    <w:rsid w:val="006060A9"/>
    <w:rsid w:val="006064F1"/>
    <w:rsid w:val="0060732D"/>
    <w:rsid w:val="00607A38"/>
    <w:rsid w:val="00607C17"/>
    <w:rsid w:val="0061064E"/>
    <w:rsid w:val="006108F9"/>
    <w:rsid w:val="00610E5F"/>
    <w:rsid w:val="00611124"/>
    <w:rsid w:val="0061117B"/>
    <w:rsid w:val="006117BD"/>
    <w:rsid w:val="00611C69"/>
    <w:rsid w:val="00612420"/>
    <w:rsid w:val="006128E5"/>
    <w:rsid w:val="00612973"/>
    <w:rsid w:val="00612B77"/>
    <w:rsid w:val="00612E33"/>
    <w:rsid w:val="0061326B"/>
    <w:rsid w:val="0061339B"/>
    <w:rsid w:val="006134B3"/>
    <w:rsid w:val="006135FE"/>
    <w:rsid w:val="00613766"/>
    <w:rsid w:val="00613C58"/>
    <w:rsid w:val="00613C79"/>
    <w:rsid w:val="00613F18"/>
    <w:rsid w:val="0061451A"/>
    <w:rsid w:val="00614A16"/>
    <w:rsid w:val="006152B1"/>
    <w:rsid w:val="006153A0"/>
    <w:rsid w:val="00615A9F"/>
    <w:rsid w:val="0061608A"/>
    <w:rsid w:val="0061637B"/>
    <w:rsid w:val="00616754"/>
    <w:rsid w:val="00616B12"/>
    <w:rsid w:val="0061717A"/>
    <w:rsid w:val="00617B66"/>
    <w:rsid w:val="00617CF1"/>
    <w:rsid w:val="00617EBE"/>
    <w:rsid w:val="00620016"/>
    <w:rsid w:val="00620822"/>
    <w:rsid w:val="00620C63"/>
    <w:rsid w:val="00621173"/>
    <w:rsid w:val="006218B3"/>
    <w:rsid w:val="00621BA3"/>
    <w:rsid w:val="00622037"/>
    <w:rsid w:val="00622397"/>
    <w:rsid w:val="0062251F"/>
    <w:rsid w:val="006225D2"/>
    <w:rsid w:val="00622B76"/>
    <w:rsid w:val="00622BBD"/>
    <w:rsid w:val="00622D18"/>
    <w:rsid w:val="00622E6E"/>
    <w:rsid w:val="0062300E"/>
    <w:rsid w:val="00623153"/>
    <w:rsid w:val="0062323C"/>
    <w:rsid w:val="00623314"/>
    <w:rsid w:val="00623E68"/>
    <w:rsid w:val="0062421A"/>
    <w:rsid w:val="00624B29"/>
    <w:rsid w:val="00624D70"/>
    <w:rsid w:val="0062578C"/>
    <w:rsid w:val="00625C45"/>
    <w:rsid w:val="00626084"/>
    <w:rsid w:val="006261C3"/>
    <w:rsid w:val="00626712"/>
    <w:rsid w:val="00627037"/>
    <w:rsid w:val="006273A7"/>
    <w:rsid w:val="00627404"/>
    <w:rsid w:val="00627993"/>
    <w:rsid w:val="00627A36"/>
    <w:rsid w:val="00627AE2"/>
    <w:rsid w:val="00627D30"/>
    <w:rsid w:val="00627FC1"/>
    <w:rsid w:val="0063001F"/>
    <w:rsid w:val="0063039A"/>
    <w:rsid w:val="00630CCB"/>
    <w:rsid w:val="00631565"/>
    <w:rsid w:val="00631878"/>
    <w:rsid w:val="00631AD0"/>
    <w:rsid w:val="0063214B"/>
    <w:rsid w:val="00632645"/>
    <w:rsid w:val="006330A3"/>
    <w:rsid w:val="00633558"/>
    <w:rsid w:val="006336F8"/>
    <w:rsid w:val="00633704"/>
    <w:rsid w:val="006338FE"/>
    <w:rsid w:val="00633B10"/>
    <w:rsid w:val="00633C8C"/>
    <w:rsid w:val="00633CC5"/>
    <w:rsid w:val="00633EE1"/>
    <w:rsid w:val="0063403D"/>
    <w:rsid w:val="006341B0"/>
    <w:rsid w:val="006344E5"/>
    <w:rsid w:val="0063458D"/>
    <w:rsid w:val="006347AF"/>
    <w:rsid w:val="00634D48"/>
    <w:rsid w:val="00634D95"/>
    <w:rsid w:val="00635A80"/>
    <w:rsid w:val="00635B9B"/>
    <w:rsid w:val="00635F11"/>
    <w:rsid w:val="006363B4"/>
    <w:rsid w:val="00636443"/>
    <w:rsid w:val="00636980"/>
    <w:rsid w:val="00636C13"/>
    <w:rsid w:val="0063713D"/>
    <w:rsid w:val="006371BC"/>
    <w:rsid w:val="00637279"/>
    <w:rsid w:val="00637551"/>
    <w:rsid w:val="00637A0D"/>
    <w:rsid w:val="00637C3D"/>
    <w:rsid w:val="00637D72"/>
    <w:rsid w:val="00637DC8"/>
    <w:rsid w:val="0064008E"/>
    <w:rsid w:val="006404AC"/>
    <w:rsid w:val="00640812"/>
    <w:rsid w:val="006408B7"/>
    <w:rsid w:val="00640CBD"/>
    <w:rsid w:val="00640EDB"/>
    <w:rsid w:val="00641130"/>
    <w:rsid w:val="00641405"/>
    <w:rsid w:val="0064181B"/>
    <w:rsid w:val="00641B49"/>
    <w:rsid w:val="0064213C"/>
    <w:rsid w:val="006427EC"/>
    <w:rsid w:val="00643616"/>
    <w:rsid w:val="00643E12"/>
    <w:rsid w:val="006445DA"/>
    <w:rsid w:val="00644A56"/>
    <w:rsid w:val="00644F64"/>
    <w:rsid w:val="00645961"/>
    <w:rsid w:val="00645965"/>
    <w:rsid w:val="00645C60"/>
    <w:rsid w:val="00646309"/>
    <w:rsid w:val="006466CD"/>
    <w:rsid w:val="00646998"/>
    <w:rsid w:val="00646A3C"/>
    <w:rsid w:val="00646C95"/>
    <w:rsid w:val="00646E79"/>
    <w:rsid w:val="0064705C"/>
    <w:rsid w:val="006470D3"/>
    <w:rsid w:val="0064781F"/>
    <w:rsid w:val="00650456"/>
    <w:rsid w:val="00650C03"/>
    <w:rsid w:val="00650CEF"/>
    <w:rsid w:val="00650FA5"/>
    <w:rsid w:val="0065143D"/>
    <w:rsid w:val="006515FC"/>
    <w:rsid w:val="006517B6"/>
    <w:rsid w:val="00651B9D"/>
    <w:rsid w:val="00651F86"/>
    <w:rsid w:val="00652088"/>
    <w:rsid w:val="006520B7"/>
    <w:rsid w:val="0065224E"/>
    <w:rsid w:val="0065280C"/>
    <w:rsid w:val="00652A75"/>
    <w:rsid w:val="00652DC9"/>
    <w:rsid w:val="00652F69"/>
    <w:rsid w:val="00653D66"/>
    <w:rsid w:val="00653EF4"/>
    <w:rsid w:val="00653F5A"/>
    <w:rsid w:val="00654390"/>
    <w:rsid w:val="0065453C"/>
    <w:rsid w:val="006547CD"/>
    <w:rsid w:val="00655627"/>
    <w:rsid w:val="00656AE0"/>
    <w:rsid w:val="00656C20"/>
    <w:rsid w:val="00656F34"/>
    <w:rsid w:val="006574AA"/>
    <w:rsid w:val="00657D43"/>
    <w:rsid w:val="00660340"/>
    <w:rsid w:val="006609C0"/>
    <w:rsid w:val="00660CDA"/>
    <w:rsid w:val="00660E6C"/>
    <w:rsid w:val="00661119"/>
    <w:rsid w:val="006616C7"/>
    <w:rsid w:val="00661B2F"/>
    <w:rsid w:val="00662F8F"/>
    <w:rsid w:val="00663011"/>
    <w:rsid w:val="0066343A"/>
    <w:rsid w:val="006634E0"/>
    <w:rsid w:val="006635DE"/>
    <w:rsid w:val="006638D0"/>
    <w:rsid w:val="00663920"/>
    <w:rsid w:val="00663AC0"/>
    <w:rsid w:val="0066438F"/>
    <w:rsid w:val="006646B5"/>
    <w:rsid w:val="00664799"/>
    <w:rsid w:val="006647C1"/>
    <w:rsid w:val="006647E6"/>
    <w:rsid w:val="00664B5A"/>
    <w:rsid w:val="00665293"/>
    <w:rsid w:val="00665EAE"/>
    <w:rsid w:val="00665F9D"/>
    <w:rsid w:val="0066625F"/>
    <w:rsid w:val="00666512"/>
    <w:rsid w:val="00666A10"/>
    <w:rsid w:val="00666A7F"/>
    <w:rsid w:val="00666C6C"/>
    <w:rsid w:val="00666C91"/>
    <w:rsid w:val="00666D0E"/>
    <w:rsid w:val="00666D2E"/>
    <w:rsid w:val="00666F13"/>
    <w:rsid w:val="00666FD3"/>
    <w:rsid w:val="006677E2"/>
    <w:rsid w:val="00667ADC"/>
    <w:rsid w:val="00667C43"/>
    <w:rsid w:val="0067031F"/>
    <w:rsid w:val="0067034F"/>
    <w:rsid w:val="006709EC"/>
    <w:rsid w:val="00670BAB"/>
    <w:rsid w:val="00670C5A"/>
    <w:rsid w:val="00670DE6"/>
    <w:rsid w:val="0067170E"/>
    <w:rsid w:val="00671753"/>
    <w:rsid w:val="00671928"/>
    <w:rsid w:val="00672495"/>
    <w:rsid w:val="00672BF6"/>
    <w:rsid w:val="00672CF9"/>
    <w:rsid w:val="006732CA"/>
    <w:rsid w:val="006732EF"/>
    <w:rsid w:val="006734CC"/>
    <w:rsid w:val="0067363C"/>
    <w:rsid w:val="00673780"/>
    <w:rsid w:val="006737DB"/>
    <w:rsid w:val="006738BB"/>
    <w:rsid w:val="00673F96"/>
    <w:rsid w:val="00674261"/>
    <w:rsid w:val="006745E8"/>
    <w:rsid w:val="006747C5"/>
    <w:rsid w:val="00674B6B"/>
    <w:rsid w:val="00674D07"/>
    <w:rsid w:val="006752F0"/>
    <w:rsid w:val="006758C9"/>
    <w:rsid w:val="00675CE2"/>
    <w:rsid w:val="006762DB"/>
    <w:rsid w:val="0067653A"/>
    <w:rsid w:val="006766E2"/>
    <w:rsid w:val="00677146"/>
    <w:rsid w:val="0067727C"/>
    <w:rsid w:val="00677314"/>
    <w:rsid w:val="0067777F"/>
    <w:rsid w:val="0067782F"/>
    <w:rsid w:val="00677DFB"/>
    <w:rsid w:val="006804DD"/>
    <w:rsid w:val="00680792"/>
    <w:rsid w:val="006807E8"/>
    <w:rsid w:val="00680A08"/>
    <w:rsid w:val="00680C0B"/>
    <w:rsid w:val="00681735"/>
    <w:rsid w:val="0068175B"/>
    <w:rsid w:val="006817AE"/>
    <w:rsid w:val="00681AED"/>
    <w:rsid w:val="00682561"/>
    <w:rsid w:val="006827A8"/>
    <w:rsid w:val="006827DC"/>
    <w:rsid w:val="0068288C"/>
    <w:rsid w:val="00682DC6"/>
    <w:rsid w:val="006830B6"/>
    <w:rsid w:val="006833E8"/>
    <w:rsid w:val="006836F2"/>
    <w:rsid w:val="00683826"/>
    <w:rsid w:val="006839B4"/>
    <w:rsid w:val="00684C30"/>
    <w:rsid w:val="00684EA2"/>
    <w:rsid w:val="00685163"/>
    <w:rsid w:val="006853A9"/>
    <w:rsid w:val="006855B6"/>
    <w:rsid w:val="0068578B"/>
    <w:rsid w:val="00685D2F"/>
    <w:rsid w:val="00685DA1"/>
    <w:rsid w:val="00685FBD"/>
    <w:rsid w:val="006864E9"/>
    <w:rsid w:val="0068659A"/>
    <w:rsid w:val="00686912"/>
    <w:rsid w:val="00686A9C"/>
    <w:rsid w:val="00686EC5"/>
    <w:rsid w:val="006874D5"/>
    <w:rsid w:val="00687758"/>
    <w:rsid w:val="006877C3"/>
    <w:rsid w:val="0069010F"/>
    <w:rsid w:val="00690C4E"/>
    <w:rsid w:val="00690D4E"/>
    <w:rsid w:val="0069153C"/>
    <w:rsid w:val="00691BCF"/>
    <w:rsid w:val="00691CF3"/>
    <w:rsid w:val="00691F0F"/>
    <w:rsid w:val="006925EA"/>
    <w:rsid w:val="0069264E"/>
    <w:rsid w:val="00692883"/>
    <w:rsid w:val="00692B5E"/>
    <w:rsid w:val="00692C5C"/>
    <w:rsid w:val="00692CEA"/>
    <w:rsid w:val="006939D6"/>
    <w:rsid w:val="00693A90"/>
    <w:rsid w:val="00693CB1"/>
    <w:rsid w:val="00694040"/>
    <w:rsid w:val="0069412F"/>
    <w:rsid w:val="00694302"/>
    <w:rsid w:val="0069531B"/>
    <w:rsid w:val="0069586D"/>
    <w:rsid w:val="00695A1B"/>
    <w:rsid w:val="00695D6C"/>
    <w:rsid w:val="00695E73"/>
    <w:rsid w:val="006960BD"/>
    <w:rsid w:val="0069642D"/>
    <w:rsid w:val="00696717"/>
    <w:rsid w:val="00696DCD"/>
    <w:rsid w:val="006972DE"/>
    <w:rsid w:val="00697657"/>
    <w:rsid w:val="0069778F"/>
    <w:rsid w:val="006978A8"/>
    <w:rsid w:val="00697A15"/>
    <w:rsid w:val="00697DC9"/>
    <w:rsid w:val="00697EF9"/>
    <w:rsid w:val="00697F16"/>
    <w:rsid w:val="006A09F0"/>
    <w:rsid w:val="006A0CA5"/>
    <w:rsid w:val="006A0CEF"/>
    <w:rsid w:val="006A0DA9"/>
    <w:rsid w:val="006A1541"/>
    <w:rsid w:val="006A1C7B"/>
    <w:rsid w:val="006A30A5"/>
    <w:rsid w:val="006A32AE"/>
    <w:rsid w:val="006A33D5"/>
    <w:rsid w:val="006A351F"/>
    <w:rsid w:val="006A3695"/>
    <w:rsid w:val="006A3923"/>
    <w:rsid w:val="006A396C"/>
    <w:rsid w:val="006A3AD8"/>
    <w:rsid w:val="006A46AC"/>
    <w:rsid w:val="006A47F2"/>
    <w:rsid w:val="006A4C59"/>
    <w:rsid w:val="006A5031"/>
    <w:rsid w:val="006A507D"/>
    <w:rsid w:val="006A5AA1"/>
    <w:rsid w:val="006A5C9E"/>
    <w:rsid w:val="006A647F"/>
    <w:rsid w:val="006A65CA"/>
    <w:rsid w:val="006A6AF4"/>
    <w:rsid w:val="006A7149"/>
    <w:rsid w:val="006A7299"/>
    <w:rsid w:val="006A7417"/>
    <w:rsid w:val="006A7544"/>
    <w:rsid w:val="006A771E"/>
    <w:rsid w:val="006A7CCA"/>
    <w:rsid w:val="006B00C1"/>
    <w:rsid w:val="006B07DC"/>
    <w:rsid w:val="006B0F88"/>
    <w:rsid w:val="006B1841"/>
    <w:rsid w:val="006B1B05"/>
    <w:rsid w:val="006B1C60"/>
    <w:rsid w:val="006B1E2C"/>
    <w:rsid w:val="006B2135"/>
    <w:rsid w:val="006B222B"/>
    <w:rsid w:val="006B23F1"/>
    <w:rsid w:val="006B24A4"/>
    <w:rsid w:val="006B2561"/>
    <w:rsid w:val="006B2F33"/>
    <w:rsid w:val="006B3366"/>
    <w:rsid w:val="006B3642"/>
    <w:rsid w:val="006B3834"/>
    <w:rsid w:val="006B39EF"/>
    <w:rsid w:val="006B3BE5"/>
    <w:rsid w:val="006B3F5E"/>
    <w:rsid w:val="006B413E"/>
    <w:rsid w:val="006B422C"/>
    <w:rsid w:val="006B4240"/>
    <w:rsid w:val="006B4867"/>
    <w:rsid w:val="006B5159"/>
    <w:rsid w:val="006B53B4"/>
    <w:rsid w:val="006B576C"/>
    <w:rsid w:val="006B5C3C"/>
    <w:rsid w:val="006B6055"/>
    <w:rsid w:val="006B60EA"/>
    <w:rsid w:val="006B6190"/>
    <w:rsid w:val="006B62D6"/>
    <w:rsid w:val="006B6F5C"/>
    <w:rsid w:val="006B70D5"/>
    <w:rsid w:val="006B7237"/>
    <w:rsid w:val="006B7500"/>
    <w:rsid w:val="006B7817"/>
    <w:rsid w:val="006B793D"/>
    <w:rsid w:val="006B7AE8"/>
    <w:rsid w:val="006C031C"/>
    <w:rsid w:val="006C04E9"/>
    <w:rsid w:val="006C092E"/>
    <w:rsid w:val="006C0B53"/>
    <w:rsid w:val="006C0D0C"/>
    <w:rsid w:val="006C0D9C"/>
    <w:rsid w:val="006C0DF2"/>
    <w:rsid w:val="006C1120"/>
    <w:rsid w:val="006C141A"/>
    <w:rsid w:val="006C19EB"/>
    <w:rsid w:val="006C2133"/>
    <w:rsid w:val="006C21E9"/>
    <w:rsid w:val="006C235D"/>
    <w:rsid w:val="006C29E1"/>
    <w:rsid w:val="006C2D5E"/>
    <w:rsid w:val="006C3BC1"/>
    <w:rsid w:val="006C4171"/>
    <w:rsid w:val="006C4305"/>
    <w:rsid w:val="006C5056"/>
    <w:rsid w:val="006C520B"/>
    <w:rsid w:val="006C52F7"/>
    <w:rsid w:val="006C590A"/>
    <w:rsid w:val="006C5ABA"/>
    <w:rsid w:val="006C5BC5"/>
    <w:rsid w:val="006C64B2"/>
    <w:rsid w:val="006C66CD"/>
    <w:rsid w:val="006C66D7"/>
    <w:rsid w:val="006C7020"/>
    <w:rsid w:val="006C717C"/>
    <w:rsid w:val="006C72D2"/>
    <w:rsid w:val="006C7661"/>
    <w:rsid w:val="006C77EA"/>
    <w:rsid w:val="006C7DC9"/>
    <w:rsid w:val="006D01B5"/>
    <w:rsid w:val="006D027F"/>
    <w:rsid w:val="006D0310"/>
    <w:rsid w:val="006D0ED5"/>
    <w:rsid w:val="006D1201"/>
    <w:rsid w:val="006D169E"/>
    <w:rsid w:val="006D252A"/>
    <w:rsid w:val="006D2C27"/>
    <w:rsid w:val="006D2E3F"/>
    <w:rsid w:val="006D2FC7"/>
    <w:rsid w:val="006D360E"/>
    <w:rsid w:val="006D40F8"/>
    <w:rsid w:val="006D4224"/>
    <w:rsid w:val="006D4331"/>
    <w:rsid w:val="006D481F"/>
    <w:rsid w:val="006D4A54"/>
    <w:rsid w:val="006D4A6F"/>
    <w:rsid w:val="006D50EC"/>
    <w:rsid w:val="006D5169"/>
    <w:rsid w:val="006D593D"/>
    <w:rsid w:val="006D5DA9"/>
    <w:rsid w:val="006D6C7D"/>
    <w:rsid w:val="006D6DA3"/>
    <w:rsid w:val="006D701C"/>
    <w:rsid w:val="006D719C"/>
    <w:rsid w:val="006D7915"/>
    <w:rsid w:val="006D7A42"/>
    <w:rsid w:val="006D7AAB"/>
    <w:rsid w:val="006E02FF"/>
    <w:rsid w:val="006E093D"/>
    <w:rsid w:val="006E13B4"/>
    <w:rsid w:val="006E1879"/>
    <w:rsid w:val="006E19B0"/>
    <w:rsid w:val="006E1A7C"/>
    <w:rsid w:val="006E1AF3"/>
    <w:rsid w:val="006E2500"/>
    <w:rsid w:val="006E2D9B"/>
    <w:rsid w:val="006E3044"/>
    <w:rsid w:val="006E31B2"/>
    <w:rsid w:val="006E3804"/>
    <w:rsid w:val="006E3942"/>
    <w:rsid w:val="006E39D2"/>
    <w:rsid w:val="006E39E4"/>
    <w:rsid w:val="006E3CDA"/>
    <w:rsid w:val="006E3EC3"/>
    <w:rsid w:val="006E4469"/>
    <w:rsid w:val="006E4593"/>
    <w:rsid w:val="006E46CB"/>
    <w:rsid w:val="006E4D7A"/>
    <w:rsid w:val="006E4E83"/>
    <w:rsid w:val="006E5B43"/>
    <w:rsid w:val="006E5E45"/>
    <w:rsid w:val="006E6568"/>
    <w:rsid w:val="006E6BBB"/>
    <w:rsid w:val="006E6CBF"/>
    <w:rsid w:val="006E6E0C"/>
    <w:rsid w:val="006E723C"/>
    <w:rsid w:val="006E7A24"/>
    <w:rsid w:val="006F0123"/>
    <w:rsid w:val="006F0C4E"/>
    <w:rsid w:val="006F0FAA"/>
    <w:rsid w:val="006F1388"/>
    <w:rsid w:val="006F15BD"/>
    <w:rsid w:val="006F15D0"/>
    <w:rsid w:val="006F1B22"/>
    <w:rsid w:val="006F1BE1"/>
    <w:rsid w:val="006F1C39"/>
    <w:rsid w:val="006F1CC7"/>
    <w:rsid w:val="006F25C6"/>
    <w:rsid w:val="006F2796"/>
    <w:rsid w:val="006F2DCE"/>
    <w:rsid w:val="006F345F"/>
    <w:rsid w:val="006F3ABB"/>
    <w:rsid w:val="006F3D85"/>
    <w:rsid w:val="006F3E80"/>
    <w:rsid w:val="006F3FB5"/>
    <w:rsid w:val="006F43EB"/>
    <w:rsid w:val="006F4412"/>
    <w:rsid w:val="006F4DCC"/>
    <w:rsid w:val="006F5376"/>
    <w:rsid w:val="006F553C"/>
    <w:rsid w:val="006F57D4"/>
    <w:rsid w:val="006F5895"/>
    <w:rsid w:val="006F5A96"/>
    <w:rsid w:val="006F67FC"/>
    <w:rsid w:val="006F683B"/>
    <w:rsid w:val="006F6971"/>
    <w:rsid w:val="006F6B90"/>
    <w:rsid w:val="006F6DC7"/>
    <w:rsid w:val="006F720D"/>
    <w:rsid w:val="006F782C"/>
    <w:rsid w:val="006F7B44"/>
    <w:rsid w:val="00700060"/>
    <w:rsid w:val="0070018B"/>
    <w:rsid w:val="007002C7"/>
    <w:rsid w:val="00700446"/>
    <w:rsid w:val="007004B5"/>
    <w:rsid w:val="00700AA6"/>
    <w:rsid w:val="00700F1F"/>
    <w:rsid w:val="00701984"/>
    <w:rsid w:val="00701B9C"/>
    <w:rsid w:val="00701CF9"/>
    <w:rsid w:val="00701E6E"/>
    <w:rsid w:val="0070291E"/>
    <w:rsid w:val="00702BA1"/>
    <w:rsid w:val="00702E52"/>
    <w:rsid w:val="00702F2F"/>
    <w:rsid w:val="00702F4E"/>
    <w:rsid w:val="00703618"/>
    <w:rsid w:val="00703639"/>
    <w:rsid w:val="0070374C"/>
    <w:rsid w:val="007038C2"/>
    <w:rsid w:val="0070409D"/>
    <w:rsid w:val="00704422"/>
    <w:rsid w:val="007044D8"/>
    <w:rsid w:val="0070459B"/>
    <w:rsid w:val="00704D1B"/>
    <w:rsid w:val="00704FA4"/>
    <w:rsid w:val="0070569F"/>
    <w:rsid w:val="00705B79"/>
    <w:rsid w:val="00705F3F"/>
    <w:rsid w:val="0070639A"/>
    <w:rsid w:val="007064D5"/>
    <w:rsid w:val="007065AB"/>
    <w:rsid w:val="00706617"/>
    <w:rsid w:val="00706A0C"/>
    <w:rsid w:val="00706AC1"/>
    <w:rsid w:val="00706E39"/>
    <w:rsid w:val="0070734D"/>
    <w:rsid w:val="00707800"/>
    <w:rsid w:val="00707D94"/>
    <w:rsid w:val="00707F7E"/>
    <w:rsid w:val="00707FAE"/>
    <w:rsid w:val="007100F9"/>
    <w:rsid w:val="007101F0"/>
    <w:rsid w:val="0071028C"/>
    <w:rsid w:val="007102C8"/>
    <w:rsid w:val="007103A5"/>
    <w:rsid w:val="00710A8A"/>
    <w:rsid w:val="00710D3B"/>
    <w:rsid w:val="00710FFA"/>
    <w:rsid w:val="00711022"/>
    <w:rsid w:val="007113FE"/>
    <w:rsid w:val="007118C7"/>
    <w:rsid w:val="00711CCB"/>
    <w:rsid w:val="00712F9C"/>
    <w:rsid w:val="00713007"/>
    <w:rsid w:val="00713247"/>
    <w:rsid w:val="00714450"/>
    <w:rsid w:val="007146D5"/>
    <w:rsid w:val="00714CDC"/>
    <w:rsid w:val="00715785"/>
    <w:rsid w:val="00715912"/>
    <w:rsid w:val="00715B56"/>
    <w:rsid w:val="00715FD3"/>
    <w:rsid w:val="007162EC"/>
    <w:rsid w:val="00716ECA"/>
    <w:rsid w:val="00717356"/>
    <w:rsid w:val="00717472"/>
    <w:rsid w:val="00717805"/>
    <w:rsid w:val="00717B70"/>
    <w:rsid w:val="007204DB"/>
    <w:rsid w:val="007206BF"/>
    <w:rsid w:val="007207FD"/>
    <w:rsid w:val="007208BE"/>
    <w:rsid w:val="00720A26"/>
    <w:rsid w:val="00720A45"/>
    <w:rsid w:val="00720BB5"/>
    <w:rsid w:val="00720CD3"/>
    <w:rsid w:val="00720E13"/>
    <w:rsid w:val="007211F9"/>
    <w:rsid w:val="007216F0"/>
    <w:rsid w:val="007218B3"/>
    <w:rsid w:val="00721B8D"/>
    <w:rsid w:val="0072262A"/>
    <w:rsid w:val="00722EA2"/>
    <w:rsid w:val="00723DB2"/>
    <w:rsid w:val="00724C93"/>
    <w:rsid w:val="007256BF"/>
    <w:rsid w:val="00726292"/>
    <w:rsid w:val="00726DD2"/>
    <w:rsid w:val="00726E2D"/>
    <w:rsid w:val="00726FE5"/>
    <w:rsid w:val="00730377"/>
    <w:rsid w:val="00730C14"/>
    <w:rsid w:val="0073152D"/>
    <w:rsid w:val="00732798"/>
    <w:rsid w:val="00732CD9"/>
    <w:rsid w:val="00732CE2"/>
    <w:rsid w:val="00732D45"/>
    <w:rsid w:val="00732FCD"/>
    <w:rsid w:val="00733E61"/>
    <w:rsid w:val="0073432F"/>
    <w:rsid w:val="007347AF"/>
    <w:rsid w:val="00734B9A"/>
    <w:rsid w:val="00735041"/>
    <w:rsid w:val="007350CD"/>
    <w:rsid w:val="00735184"/>
    <w:rsid w:val="00735420"/>
    <w:rsid w:val="00735540"/>
    <w:rsid w:val="00735863"/>
    <w:rsid w:val="00735A90"/>
    <w:rsid w:val="00736265"/>
    <w:rsid w:val="007362B0"/>
    <w:rsid w:val="007364B0"/>
    <w:rsid w:val="007364FD"/>
    <w:rsid w:val="00736A74"/>
    <w:rsid w:val="00736D1D"/>
    <w:rsid w:val="00736E6B"/>
    <w:rsid w:val="00737295"/>
    <w:rsid w:val="007374AF"/>
    <w:rsid w:val="00737ECA"/>
    <w:rsid w:val="0074004D"/>
    <w:rsid w:val="0074006C"/>
    <w:rsid w:val="007408A9"/>
    <w:rsid w:val="0074095E"/>
    <w:rsid w:val="00740A60"/>
    <w:rsid w:val="00740CE2"/>
    <w:rsid w:val="0074102F"/>
    <w:rsid w:val="0074137F"/>
    <w:rsid w:val="007413DE"/>
    <w:rsid w:val="007416AB"/>
    <w:rsid w:val="007416B8"/>
    <w:rsid w:val="0074177A"/>
    <w:rsid w:val="0074186E"/>
    <w:rsid w:val="007418CA"/>
    <w:rsid w:val="00741BBD"/>
    <w:rsid w:val="00742CB3"/>
    <w:rsid w:val="00742E7E"/>
    <w:rsid w:val="007433D4"/>
    <w:rsid w:val="007435CA"/>
    <w:rsid w:val="00743969"/>
    <w:rsid w:val="00743A9A"/>
    <w:rsid w:val="00743B2A"/>
    <w:rsid w:val="00743DEA"/>
    <w:rsid w:val="0074412B"/>
    <w:rsid w:val="007443B4"/>
    <w:rsid w:val="00744873"/>
    <w:rsid w:val="00744C31"/>
    <w:rsid w:val="00745A72"/>
    <w:rsid w:val="0074638E"/>
    <w:rsid w:val="00746A85"/>
    <w:rsid w:val="00746BDF"/>
    <w:rsid w:val="00746EE4"/>
    <w:rsid w:val="00747666"/>
    <w:rsid w:val="007476AB"/>
    <w:rsid w:val="00747841"/>
    <w:rsid w:val="00747947"/>
    <w:rsid w:val="007479B0"/>
    <w:rsid w:val="00747CEE"/>
    <w:rsid w:val="00747F08"/>
    <w:rsid w:val="00747F6B"/>
    <w:rsid w:val="00747FCF"/>
    <w:rsid w:val="00750857"/>
    <w:rsid w:val="0075086A"/>
    <w:rsid w:val="007511B1"/>
    <w:rsid w:val="00751C0F"/>
    <w:rsid w:val="00751E92"/>
    <w:rsid w:val="00752858"/>
    <w:rsid w:val="0075338B"/>
    <w:rsid w:val="007533BC"/>
    <w:rsid w:val="00753784"/>
    <w:rsid w:val="00753A7B"/>
    <w:rsid w:val="0075431C"/>
    <w:rsid w:val="00754733"/>
    <w:rsid w:val="00754CCC"/>
    <w:rsid w:val="00754CE6"/>
    <w:rsid w:val="00754E5A"/>
    <w:rsid w:val="00755BD9"/>
    <w:rsid w:val="00755BF7"/>
    <w:rsid w:val="00755CB3"/>
    <w:rsid w:val="00755D78"/>
    <w:rsid w:val="00755F2A"/>
    <w:rsid w:val="0075684B"/>
    <w:rsid w:val="00756F60"/>
    <w:rsid w:val="00757052"/>
    <w:rsid w:val="00757182"/>
    <w:rsid w:val="00757594"/>
    <w:rsid w:val="007576AD"/>
    <w:rsid w:val="00757771"/>
    <w:rsid w:val="00757CE0"/>
    <w:rsid w:val="00760144"/>
    <w:rsid w:val="00760447"/>
    <w:rsid w:val="007604DE"/>
    <w:rsid w:val="0076075F"/>
    <w:rsid w:val="0076078D"/>
    <w:rsid w:val="007609D3"/>
    <w:rsid w:val="00760FC4"/>
    <w:rsid w:val="00761A01"/>
    <w:rsid w:val="00762D3E"/>
    <w:rsid w:val="00762FC8"/>
    <w:rsid w:val="007634F8"/>
    <w:rsid w:val="007638D5"/>
    <w:rsid w:val="00763A0B"/>
    <w:rsid w:val="00763BBA"/>
    <w:rsid w:val="0076402C"/>
    <w:rsid w:val="007640AC"/>
    <w:rsid w:val="007652AE"/>
    <w:rsid w:val="007652CE"/>
    <w:rsid w:val="007655C9"/>
    <w:rsid w:val="00765ADA"/>
    <w:rsid w:val="00765C56"/>
    <w:rsid w:val="00765C77"/>
    <w:rsid w:val="007666B9"/>
    <w:rsid w:val="007669E3"/>
    <w:rsid w:val="00766A2F"/>
    <w:rsid w:val="00766AD4"/>
    <w:rsid w:val="007670F0"/>
    <w:rsid w:val="00767420"/>
    <w:rsid w:val="00767A6D"/>
    <w:rsid w:val="00767C9E"/>
    <w:rsid w:val="0077074C"/>
    <w:rsid w:val="007707F7"/>
    <w:rsid w:val="0077099F"/>
    <w:rsid w:val="00771278"/>
    <w:rsid w:val="0077153D"/>
    <w:rsid w:val="00771BC1"/>
    <w:rsid w:val="007720DA"/>
    <w:rsid w:val="00772523"/>
    <w:rsid w:val="0077339F"/>
    <w:rsid w:val="00773856"/>
    <w:rsid w:val="00773A4A"/>
    <w:rsid w:val="007740B7"/>
    <w:rsid w:val="007740F6"/>
    <w:rsid w:val="0077420C"/>
    <w:rsid w:val="00774357"/>
    <w:rsid w:val="00774697"/>
    <w:rsid w:val="0077494B"/>
    <w:rsid w:val="00774DA9"/>
    <w:rsid w:val="00774F5D"/>
    <w:rsid w:val="00774FCA"/>
    <w:rsid w:val="00774FD4"/>
    <w:rsid w:val="007752DE"/>
    <w:rsid w:val="007754DE"/>
    <w:rsid w:val="00775AF6"/>
    <w:rsid w:val="00775B51"/>
    <w:rsid w:val="00775BF1"/>
    <w:rsid w:val="00775CD6"/>
    <w:rsid w:val="00776618"/>
    <w:rsid w:val="00776966"/>
    <w:rsid w:val="007771AC"/>
    <w:rsid w:val="007778E6"/>
    <w:rsid w:val="00777CB5"/>
    <w:rsid w:val="00777EBE"/>
    <w:rsid w:val="007805BC"/>
    <w:rsid w:val="00781062"/>
    <w:rsid w:val="0078119C"/>
    <w:rsid w:val="007814D5"/>
    <w:rsid w:val="00781652"/>
    <w:rsid w:val="00781A33"/>
    <w:rsid w:val="00781EA0"/>
    <w:rsid w:val="007821DC"/>
    <w:rsid w:val="007824AD"/>
    <w:rsid w:val="0078277D"/>
    <w:rsid w:val="00783104"/>
    <w:rsid w:val="007836DA"/>
    <w:rsid w:val="00783704"/>
    <w:rsid w:val="00783C5E"/>
    <w:rsid w:val="00783E4E"/>
    <w:rsid w:val="00783FC4"/>
    <w:rsid w:val="00784046"/>
    <w:rsid w:val="00784244"/>
    <w:rsid w:val="00785246"/>
    <w:rsid w:val="00786046"/>
    <w:rsid w:val="007861F5"/>
    <w:rsid w:val="00786BB9"/>
    <w:rsid w:val="007871FE"/>
    <w:rsid w:val="00787C13"/>
    <w:rsid w:val="00790036"/>
    <w:rsid w:val="00790090"/>
    <w:rsid w:val="007901D1"/>
    <w:rsid w:val="00790C76"/>
    <w:rsid w:val="007911E5"/>
    <w:rsid w:val="0079179C"/>
    <w:rsid w:val="007917DB"/>
    <w:rsid w:val="00791BBE"/>
    <w:rsid w:val="00791C56"/>
    <w:rsid w:val="0079201B"/>
    <w:rsid w:val="00792027"/>
    <w:rsid w:val="00792062"/>
    <w:rsid w:val="00792776"/>
    <w:rsid w:val="0079360B"/>
    <w:rsid w:val="0079395B"/>
    <w:rsid w:val="00793C72"/>
    <w:rsid w:val="00793F75"/>
    <w:rsid w:val="00793F8F"/>
    <w:rsid w:val="00794B88"/>
    <w:rsid w:val="00794E48"/>
    <w:rsid w:val="007950F8"/>
    <w:rsid w:val="007953CD"/>
    <w:rsid w:val="00795549"/>
    <w:rsid w:val="007955E9"/>
    <w:rsid w:val="0079565E"/>
    <w:rsid w:val="00795A79"/>
    <w:rsid w:val="00795C27"/>
    <w:rsid w:val="00795FCF"/>
    <w:rsid w:val="0079621F"/>
    <w:rsid w:val="007968C1"/>
    <w:rsid w:val="0079698C"/>
    <w:rsid w:val="00796D37"/>
    <w:rsid w:val="00796E37"/>
    <w:rsid w:val="0079748C"/>
    <w:rsid w:val="00797DDA"/>
    <w:rsid w:val="007A0355"/>
    <w:rsid w:val="007A054C"/>
    <w:rsid w:val="007A0973"/>
    <w:rsid w:val="007A0E79"/>
    <w:rsid w:val="007A112E"/>
    <w:rsid w:val="007A196B"/>
    <w:rsid w:val="007A19CA"/>
    <w:rsid w:val="007A1B51"/>
    <w:rsid w:val="007A1BA0"/>
    <w:rsid w:val="007A1ED4"/>
    <w:rsid w:val="007A21A0"/>
    <w:rsid w:val="007A22DB"/>
    <w:rsid w:val="007A2575"/>
    <w:rsid w:val="007A28DF"/>
    <w:rsid w:val="007A2CCF"/>
    <w:rsid w:val="007A30B2"/>
    <w:rsid w:val="007A3187"/>
    <w:rsid w:val="007A3D87"/>
    <w:rsid w:val="007A4294"/>
    <w:rsid w:val="007A444F"/>
    <w:rsid w:val="007A448B"/>
    <w:rsid w:val="007A477D"/>
    <w:rsid w:val="007A49E6"/>
    <w:rsid w:val="007A4BBC"/>
    <w:rsid w:val="007A4C12"/>
    <w:rsid w:val="007A541D"/>
    <w:rsid w:val="007A58F2"/>
    <w:rsid w:val="007A5C1D"/>
    <w:rsid w:val="007A665E"/>
    <w:rsid w:val="007A68CF"/>
    <w:rsid w:val="007A7854"/>
    <w:rsid w:val="007B0117"/>
    <w:rsid w:val="007B0275"/>
    <w:rsid w:val="007B0373"/>
    <w:rsid w:val="007B0847"/>
    <w:rsid w:val="007B0BBA"/>
    <w:rsid w:val="007B0E3B"/>
    <w:rsid w:val="007B1324"/>
    <w:rsid w:val="007B1429"/>
    <w:rsid w:val="007B1590"/>
    <w:rsid w:val="007B1EFC"/>
    <w:rsid w:val="007B26A7"/>
    <w:rsid w:val="007B2B5C"/>
    <w:rsid w:val="007B2B8C"/>
    <w:rsid w:val="007B332A"/>
    <w:rsid w:val="007B365C"/>
    <w:rsid w:val="007B396D"/>
    <w:rsid w:val="007B3D55"/>
    <w:rsid w:val="007B4363"/>
    <w:rsid w:val="007B4466"/>
    <w:rsid w:val="007B544E"/>
    <w:rsid w:val="007B55DC"/>
    <w:rsid w:val="007B5D21"/>
    <w:rsid w:val="007B60D9"/>
    <w:rsid w:val="007B6433"/>
    <w:rsid w:val="007B682B"/>
    <w:rsid w:val="007B68EF"/>
    <w:rsid w:val="007B77C5"/>
    <w:rsid w:val="007C0529"/>
    <w:rsid w:val="007C0660"/>
    <w:rsid w:val="007C06BB"/>
    <w:rsid w:val="007C0914"/>
    <w:rsid w:val="007C09BC"/>
    <w:rsid w:val="007C0DEE"/>
    <w:rsid w:val="007C1961"/>
    <w:rsid w:val="007C1C0E"/>
    <w:rsid w:val="007C1C84"/>
    <w:rsid w:val="007C21C3"/>
    <w:rsid w:val="007C2260"/>
    <w:rsid w:val="007C24B5"/>
    <w:rsid w:val="007C27C7"/>
    <w:rsid w:val="007C2E89"/>
    <w:rsid w:val="007C2F66"/>
    <w:rsid w:val="007C37B2"/>
    <w:rsid w:val="007C37E9"/>
    <w:rsid w:val="007C3ED9"/>
    <w:rsid w:val="007C3F73"/>
    <w:rsid w:val="007C41A5"/>
    <w:rsid w:val="007C41C9"/>
    <w:rsid w:val="007C41F0"/>
    <w:rsid w:val="007C41F3"/>
    <w:rsid w:val="007C44DB"/>
    <w:rsid w:val="007C4870"/>
    <w:rsid w:val="007C5099"/>
    <w:rsid w:val="007C5402"/>
    <w:rsid w:val="007C5442"/>
    <w:rsid w:val="007C55B9"/>
    <w:rsid w:val="007C59CD"/>
    <w:rsid w:val="007C5A61"/>
    <w:rsid w:val="007C6B45"/>
    <w:rsid w:val="007C6D8E"/>
    <w:rsid w:val="007C70B8"/>
    <w:rsid w:val="007C7283"/>
    <w:rsid w:val="007C79D3"/>
    <w:rsid w:val="007C7B88"/>
    <w:rsid w:val="007C7D3A"/>
    <w:rsid w:val="007C7E56"/>
    <w:rsid w:val="007D0820"/>
    <w:rsid w:val="007D0AE2"/>
    <w:rsid w:val="007D1111"/>
    <w:rsid w:val="007D12C6"/>
    <w:rsid w:val="007D169F"/>
    <w:rsid w:val="007D18B3"/>
    <w:rsid w:val="007D1B20"/>
    <w:rsid w:val="007D22C3"/>
    <w:rsid w:val="007D26C7"/>
    <w:rsid w:val="007D2B68"/>
    <w:rsid w:val="007D3218"/>
    <w:rsid w:val="007D3869"/>
    <w:rsid w:val="007D3887"/>
    <w:rsid w:val="007D4361"/>
    <w:rsid w:val="007D43A1"/>
    <w:rsid w:val="007D4CBC"/>
    <w:rsid w:val="007D4DC9"/>
    <w:rsid w:val="007D4E82"/>
    <w:rsid w:val="007D4F26"/>
    <w:rsid w:val="007D5D25"/>
    <w:rsid w:val="007D5DFF"/>
    <w:rsid w:val="007D6156"/>
    <w:rsid w:val="007D6532"/>
    <w:rsid w:val="007D67E6"/>
    <w:rsid w:val="007D7664"/>
    <w:rsid w:val="007D7A3A"/>
    <w:rsid w:val="007D7B46"/>
    <w:rsid w:val="007D7BFA"/>
    <w:rsid w:val="007D7E88"/>
    <w:rsid w:val="007E0546"/>
    <w:rsid w:val="007E0726"/>
    <w:rsid w:val="007E07A9"/>
    <w:rsid w:val="007E0BD6"/>
    <w:rsid w:val="007E1084"/>
    <w:rsid w:val="007E121B"/>
    <w:rsid w:val="007E1679"/>
    <w:rsid w:val="007E1715"/>
    <w:rsid w:val="007E17DE"/>
    <w:rsid w:val="007E1D86"/>
    <w:rsid w:val="007E1E1D"/>
    <w:rsid w:val="007E24B3"/>
    <w:rsid w:val="007E2632"/>
    <w:rsid w:val="007E2E93"/>
    <w:rsid w:val="007E318A"/>
    <w:rsid w:val="007E322D"/>
    <w:rsid w:val="007E33D9"/>
    <w:rsid w:val="007E33E7"/>
    <w:rsid w:val="007E352B"/>
    <w:rsid w:val="007E3621"/>
    <w:rsid w:val="007E3B3D"/>
    <w:rsid w:val="007E3F33"/>
    <w:rsid w:val="007E41AD"/>
    <w:rsid w:val="007E44CA"/>
    <w:rsid w:val="007E59CA"/>
    <w:rsid w:val="007E5C31"/>
    <w:rsid w:val="007E63DA"/>
    <w:rsid w:val="007E6852"/>
    <w:rsid w:val="007E68C2"/>
    <w:rsid w:val="007E6CC6"/>
    <w:rsid w:val="007E6CF7"/>
    <w:rsid w:val="007E7F18"/>
    <w:rsid w:val="007F02EC"/>
    <w:rsid w:val="007F0487"/>
    <w:rsid w:val="007F04E0"/>
    <w:rsid w:val="007F08C2"/>
    <w:rsid w:val="007F0AEF"/>
    <w:rsid w:val="007F1030"/>
    <w:rsid w:val="007F15B7"/>
    <w:rsid w:val="007F16D8"/>
    <w:rsid w:val="007F1745"/>
    <w:rsid w:val="007F189A"/>
    <w:rsid w:val="007F2654"/>
    <w:rsid w:val="007F2783"/>
    <w:rsid w:val="007F2DAE"/>
    <w:rsid w:val="007F3134"/>
    <w:rsid w:val="007F378D"/>
    <w:rsid w:val="007F4172"/>
    <w:rsid w:val="007F44F0"/>
    <w:rsid w:val="007F49BE"/>
    <w:rsid w:val="007F4A41"/>
    <w:rsid w:val="007F4AA0"/>
    <w:rsid w:val="007F4D43"/>
    <w:rsid w:val="007F534C"/>
    <w:rsid w:val="007F53BC"/>
    <w:rsid w:val="007F58FA"/>
    <w:rsid w:val="007F5C1F"/>
    <w:rsid w:val="007F5F55"/>
    <w:rsid w:val="007F6428"/>
    <w:rsid w:val="007F64EA"/>
    <w:rsid w:val="007F6D01"/>
    <w:rsid w:val="007F6EA3"/>
    <w:rsid w:val="007F6F77"/>
    <w:rsid w:val="007F7582"/>
    <w:rsid w:val="007F7A00"/>
    <w:rsid w:val="00800371"/>
    <w:rsid w:val="00800A14"/>
    <w:rsid w:val="00800B8B"/>
    <w:rsid w:val="00800CE0"/>
    <w:rsid w:val="00800F96"/>
    <w:rsid w:val="00801739"/>
    <w:rsid w:val="00801D33"/>
    <w:rsid w:val="00801DAF"/>
    <w:rsid w:val="008022B0"/>
    <w:rsid w:val="0080266A"/>
    <w:rsid w:val="008028BE"/>
    <w:rsid w:val="008028EA"/>
    <w:rsid w:val="00802F45"/>
    <w:rsid w:val="008039EB"/>
    <w:rsid w:val="00803CCC"/>
    <w:rsid w:val="00803DF2"/>
    <w:rsid w:val="00804596"/>
    <w:rsid w:val="00804B6C"/>
    <w:rsid w:val="00804D4A"/>
    <w:rsid w:val="00805930"/>
    <w:rsid w:val="00805E87"/>
    <w:rsid w:val="00806144"/>
    <w:rsid w:val="00806378"/>
    <w:rsid w:val="0080677E"/>
    <w:rsid w:val="00806D4B"/>
    <w:rsid w:val="00806D72"/>
    <w:rsid w:val="00807166"/>
    <w:rsid w:val="00807397"/>
    <w:rsid w:val="0081007C"/>
    <w:rsid w:val="00810786"/>
    <w:rsid w:val="00810EBD"/>
    <w:rsid w:val="00811B88"/>
    <w:rsid w:val="00811B97"/>
    <w:rsid w:val="00811C02"/>
    <w:rsid w:val="0081240C"/>
    <w:rsid w:val="0081242C"/>
    <w:rsid w:val="00812FC2"/>
    <w:rsid w:val="00813024"/>
    <w:rsid w:val="008135A2"/>
    <w:rsid w:val="00813735"/>
    <w:rsid w:val="0081392A"/>
    <w:rsid w:val="00813D70"/>
    <w:rsid w:val="00814324"/>
    <w:rsid w:val="00814597"/>
    <w:rsid w:val="008145CD"/>
    <w:rsid w:val="008149BE"/>
    <w:rsid w:val="00814BC4"/>
    <w:rsid w:val="00814BC8"/>
    <w:rsid w:val="00814FF9"/>
    <w:rsid w:val="00815087"/>
    <w:rsid w:val="0081510E"/>
    <w:rsid w:val="00815651"/>
    <w:rsid w:val="00815A80"/>
    <w:rsid w:val="00815B47"/>
    <w:rsid w:val="00815C8A"/>
    <w:rsid w:val="0081601C"/>
    <w:rsid w:val="008169DD"/>
    <w:rsid w:val="00816A66"/>
    <w:rsid w:val="00816E8B"/>
    <w:rsid w:val="008173CE"/>
    <w:rsid w:val="008174FD"/>
    <w:rsid w:val="008177FC"/>
    <w:rsid w:val="00817930"/>
    <w:rsid w:val="00817BC4"/>
    <w:rsid w:val="00817C8B"/>
    <w:rsid w:val="00817D94"/>
    <w:rsid w:val="00817E43"/>
    <w:rsid w:val="00817FD5"/>
    <w:rsid w:val="008202A7"/>
    <w:rsid w:val="0082038D"/>
    <w:rsid w:val="008208E8"/>
    <w:rsid w:val="00820D9D"/>
    <w:rsid w:val="00821017"/>
    <w:rsid w:val="008211EE"/>
    <w:rsid w:val="0082141C"/>
    <w:rsid w:val="0082168B"/>
    <w:rsid w:val="00821C92"/>
    <w:rsid w:val="00821D62"/>
    <w:rsid w:val="00822191"/>
    <w:rsid w:val="00822200"/>
    <w:rsid w:val="00822440"/>
    <w:rsid w:val="00822571"/>
    <w:rsid w:val="00822651"/>
    <w:rsid w:val="00823319"/>
    <w:rsid w:val="008233A6"/>
    <w:rsid w:val="00823AB0"/>
    <w:rsid w:val="00823FC0"/>
    <w:rsid w:val="00824091"/>
    <w:rsid w:val="00824687"/>
    <w:rsid w:val="00824EE5"/>
    <w:rsid w:val="00824F10"/>
    <w:rsid w:val="00825079"/>
    <w:rsid w:val="008252C1"/>
    <w:rsid w:val="00825B91"/>
    <w:rsid w:val="008263A7"/>
    <w:rsid w:val="00826501"/>
    <w:rsid w:val="0082763F"/>
    <w:rsid w:val="008276B8"/>
    <w:rsid w:val="008278A5"/>
    <w:rsid w:val="00827B0A"/>
    <w:rsid w:val="00827BB9"/>
    <w:rsid w:val="00827FAF"/>
    <w:rsid w:val="00830523"/>
    <w:rsid w:val="008306E1"/>
    <w:rsid w:val="00830DB4"/>
    <w:rsid w:val="00830E4D"/>
    <w:rsid w:val="00830E6E"/>
    <w:rsid w:val="00831569"/>
    <w:rsid w:val="0083157A"/>
    <w:rsid w:val="00831A23"/>
    <w:rsid w:val="00831AAB"/>
    <w:rsid w:val="00831BAF"/>
    <w:rsid w:val="00831BC8"/>
    <w:rsid w:val="00831DAB"/>
    <w:rsid w:val="00832253"/>
    <w:rsid w:val="00832510"/>
    <w:rsid w:val="00832855"/>
    <w:rsid w:val="00832B7D"/>
    <w:rsid w:val="00833361"/>
    <w:rsid w:val="008333ED"/>
    <w:rsid w:val="0083359D"/>
    <w:rsid w:val="00833C15"/>
    <w:rsid w:val="00833EEF"/>
    <w:rsid w:val="00833F96"/>
    <w:rsid w:val="00833FEF"/>
    <w:rsid w:val="008341F4"/>
    <w:rsid w:val="00834323"/>
    <w:rsid w:val="008343C0"/>
    <w:rsid w:val="008343C8"/>
    <w:rsid w:val="00834682"/>
    <w:rsid w:val="0083488C"/>
    <w:rsid w:val="00834A3C"/>
    <w:rsid w:val="00834F36"/>
    <w:rsid w:val="00834F3F"/>
    <w:rsid w:val="008352F8"/>
    <w:rsid w:val="00835881"/>
    <w:rsid w:val="008358FA"/>
    <w:rsid w:val="00835B1F"/>
    <w:rsid w:val="00835C71"/>
    <w:rsid w:val="00835E81"/>
    <w:rsid w:val="00836B26"/>
    <w:rsid w:val="00836F74"/>
    <w:rsid w:val="008371C7"/>
    <w:rsid w:val="0083789D"/>
    <w:rsid w:val="00837B01"/>
    <w:rsid w:val="00837CF6"/>
    <w:rsid w:val="00840033"/>
    <w:rsid w:val="00840274"/>
    <w:rsid w:val="008405E5"/>
    <w:rsid w:val="00840F78"/>
    <w:rsid w:val="008412ED"/>
    <w:rsid w:val="0084170A"/>
    <w:rsid w:val="008418CC"/>
    <w:rsid w:val="00841E83"/>
    <w:rsid w:val="00842BC6"/>
    <w:rsid w:val="00842ECA"/>
    <w:rsid w:val="00843112"/>
    <w:rsid w:val="0084334F"/>
    <w:rsid w:val="00843941"/>
    <w:rsid w:val="00844020"/>
    <w:rsid w:val="00844145"/>
    <w:rsid w:val="00844185"/>
    <w:rsid w:val="00844820"/>
    <w:rsid w:val="0084492A"/>
    <w:rsid w:val="00844A64"/>
    <w:rsid w:val="00844C32"/>
    <w:rsid w:val="00844D17"/>
    <w:rsid w:val="00844E26"/>
    <w:rsid w:val="008455D1"/>
    <w:rsid w:val="0084562A"/>
    <w:rsid w:val="0084602A"/>
    <w:rsid w:val="00846214"/>
    <w:rsid w:val="00846911"/>
    <w:rsid w:val="00846EE8"/>
    <w:rsid w:val="00847765"/>
    <w:rsid w:val="00847E95"/>
    <w:rsid w:val="00850ADA"/>
    <w:rsid w:val="0085148E"/>
    <w:rsid w:val="00851A11"/>
    <w:rsid w:val="00851E1F"/>
    <w:rsid w:val="00851F41"/>
    <w:rsid w:val="008521A5"/>
    <w:rsid w:val="008525CB"/>
    <w:rsid w:val="00852901"/>
    <w:rsid w:val="008529F8"/>
    <w:rsid w:val="00852FAB"/>
    <w:rsid w:val="00853A23"/>
    <w:rsid w:val="00853AA5"/>
    <w:rsid w:val="00853EA0"/>
    <w:rsid w:val="008541A8"/>
    <w:rsid w:val="0085463F"/>
    <w:rsid w:val="00855950"/>
    <w:rsid w:val="00855951"/>
    <w:rsid w:val="00855DA7"/>
    <w:rsid w:val="00855E00"/>
    <w:rsid w:val="00856793"/>
    <w:rsid w:val="00856858"/>
    <w:rsid w:val="00857323"/>
    <w:rsid w:val="008575CD"/>
    <w:rsid w:val="00857717"/>
    <w:rsid w:val="00857DAC"/>
    <w:rsid w:val="00860D4D"/>
    <w:rsid w:val="00861023"/>
    <w:rsid w:val="0086141C"/>
    <w:rsid w:val="00861572"/>
    <w:rsid w:val="00861980"/>
    <w:rsid w:val="00861D33"/>
    <w:rsid w:val="00861F0A"/>
    <w:rsid w:val="00862CDF"/>
    <w:rsid w:val="0086346E"/>
    <w:rsid w:val="0086348C"/>
    <w:rsid w:val="00863B00"/>
    <w:rsid w:val="0086472E"/>
    <w:rsid w:val="0086480D"/>
    <w:rsid w:val="00864AED"/>
    <w:rsid w:val="00864F43"/>
    <w:rsid w:val="0086505E"/>
    <w:rsid w:val="0086562D"/>
    <w:rsid w:val="0086596E"/>
    <w:rsid w:val="0086632C"/>
    <w:rsid w:val="00866B9A"/>
    <w:rsid w:val="0086712C"/>
    <w:rsid w:val="00867448"/>
    <w:rsid w:val="00867506"/>
    <w:rsid w:val="00867995"/>
    <w:rsid w:val="008679ED"/>
    <w:rsid w:val="00867F25"/>
    <w:rsid w:val="00870D34"/>
    <w:rsid w:val="00870D75"/>
    <w:rsid w:val="0087153B"/>
    <w:rsid w:val="008716A5"/>
    <w:rsid w:val="00871BA5"/>
    <w:rsid w:val="00871D73"/>
    <w:rsid w:val="0087227C"/>
    <w:rsid w:val="00872283"/>
    <w:rsid w:val="008722FB"/>
    <w:rsid w:val="00872F9B"/>
    <w:rsid w:val="008730CE"/>
    <w:rsid w:val="008732D2"/>
    <w:rsid w:val="0087387C"/>
    <w:rsid w:val="00873897"/>
    <w:rsid w:val="008739D7"/>
    <w:rsid w:val="0087433C"/>
    <w:rsid w:val="008744DF"/>
    <w:rsid w:val="00874997"/>
    <w:rsid w:val="008749E6"/>
    <w:rsid w:val="00874C5A"/>
    <w:rsid w:val="00875402"/>
    <w:rsid w:val="00875608"/>
    <w:rsid w:val="008757A6"/>
    <w:rsid w:val="008760D2"/>
    <w:rsid w:val="0087638C"/>
    <w:rsid w:val="008765D6"/>
    <w:rsid w:val="008766A0"/>
    <w:rsid w:val="0087673F"/>
    <w:rsid w:val="00876D23"/>
    <w:rsid w:val="00876FDA"/>
    <w:rsid w:val="0087713E"/>
    <w:rsid w:val="00877279"/>
    <w:rsid w:val="008773D3"/>
    <w:rsid w:val="00877992"/>
    <w:rsid w:val="00877CBA"/>
    <w:rsid w:val="00880016"/>
    <w:rsid w:val="008808E5"/>
    <w:rsid w:val="008810D2"/>
    <w:rsid w:val="0088199C"/>
    <w:rsid w:val="008819FD"/>
    <w:rsid w:val="00881E92"/>
    <w:rsid w:val="00882605"/>
    <w:rsid w:val="008827C5"/>
    <w:rsid w:val="00882E0B"/>
    <w:rsid w:val="008831E9"/>
    <w:rsid w:val="008836E2"/>
    <w:rsid w:val="00883A7F"/>
    <w:rsid w:val="00883EBC"/>
    <w:rsid w:val="00883F30"/>
    <w:rsid w:val="00884CE6"/>
    <w:rsid w:val="00884FF2"/>
    <w:rsid w:val="0088578C"/>
    <w:rsid w:val="00885D86"/>
    <w:rsid w:val="00886060"/>
    <w:rsid w:val="0088618B"/>
    <w:rsid w:val="008863CF"/>
    <w:rsid w:val="00887159"/>
    <w:rsid w:val="0088743F"/>
    <w:rsid w:val="0088779F"/>
    <w:rsid w:val="00887C7A"/>
    <w:rsid w:val="00890721"/>
    <w:rsid w:val="00890CB1"/>
    <w:rsid w:val="00891AED"/>
    <w:rsid w:val="00891DFC"/>
    <w:rsid w:val="00891F5C"/>
    <w:rsid w:val="008921F3"/>
    <w:rsid w:val="00892486"/>
    <w:rsid w:val="008926BD"/>
    <w:rsid w:val="00892CF9"/>
    <w:rsid w:val="00892F32"/>
    <w:rsid w:val="00893011"/>
    <w:rsid w:val="00893093"/>
    <w:rsid w:val="0089363D"/>
    <w:rsid w:val="00893859"/>
    <w:rsid w:val="00894209"/>
    <w:rsid w:val="00895DCF"/>
    <w:rsid w:val="00895E48"/>
    <w:rsid w:val="00895FED"/>
    <w:rsid w:val="008961C3"/>
    <w:rsid w:val="008964F1"/>
    <w:rsid w:val="008966D4"/>
    <w:rsid w:val="00896C20"/>
    <w:rsid w:val="0089771E"/>
    <w:rsid w:val="00897AEC"/>
    <w:rsid w:val="00897C2E"/>
    <w:rsid w:val="00897EAF"/>
    <w:rsid w:val="00897F8C"/>
    <w:rsid w:val="008A03EA"/>
    <w:rsid w:val="008A0911"/>
    <w:rsid w:val="008A09A8"/>
    <w:rsid w:val="008A0A7A"/>
    <w:rsid w:val="008A0CFF"/>
    <w:rsid w:val="008A0FB5"/>
    <w:rsid w:val="008A0FE9"/>
    <w:rsid w:val="008A140E"/>
    <w:rsid w:val="008A177D"/>
    <w:rsid w:val="008A1969"/>
    <w:rsid w:val="008A2184"/>
    <w:rsid w:val="008A22B8"/>
    <w:rsid w:val="008A243D"/>
    <w:rsid w:val="008A2991"/>
    <w:rsid w:val="008A299F"/>
    <w:rsid w:val="008A2E1C"/>
    <w:rsid w:val="008A2F1C"/>
    <w:rsid w:val="008A2F48"/>
    <w:rsid w:val="008A3571"/>
    <w:rsid w:val="008A3656"/>
    <w:rsid w:val="008A3912"/>
    <w:rsid w:val="008A398B"/>
    <w:rsid w:val="008A39CE"/>
    <w:rsid w:val="008A3EA9"/>
    <w:rsid w:val="008A3F7C"/>
    <w:rsid w:val="008A4612"/>
    <w:rsid w:val="008A4773"/>
    <w:rsid w:val="008A4873"/>
    <w:rsid w:val="008A4D27"/>
    <w:rsid w:val="008A571A"/>
    <w:rsid w:val="008A5A30"/>
    <w:rsid w:val="008A5F6D"/>
    <w:rsid w:val="008A60EF"/>
    <w:rsid w:val="008A64AA"/>
    <w:rsid w:val="008A6761"/>
    <w:rsid w:val="008A6E57"/>
    <w:rsid w:val="008A7BEE"/>
    <w:rsid w:val="008B00C7"/>
    <w:rsid w:val="008B02C2"/>
    <w:rsid w:val="008B07E1"/>
    <w:rsid w:val="008B0954"/>
    <w:rsid w:val="008B0C87"/>
    <w:rsid w:val="008B109A"/>
    <w:rsid w:val="008B1CB1"/>
    <w:rsid w:val="008B1F19"/>
    <w:rsid w:val="008B225A"/>
    <w:rsid w:val="008B2810"/>
    <w:rsid w:val="008B2D81"/>
    <w:rsid w:val="008B3397"/>
    <w:rsid w:val="008B3B74"/>
    <w:rsid w:val="008B50E2"/>
    <w:rsid w:val="008B567F"/>
    <w:rsid w:val="008B5C2E"/>
    <w:rsid w:val="008B5EDF"/>
    <w:rsid w:val="008B645D"/>
    <w:rsid w:val="008B657F"/>
    <w:rsid w:val="008B67FD"/>
    <w:rsid w:val="008B69D0"/>
    <w:rsid w:val="008B6C5B"/>
    <w:rsid w:val="008B6F73"/>
    <w:rsid w:val="008B757B"/>
    <w:rsid w:val="008B7973"/>
    <w:rsid w:val="008C0009"/>
    <w:rsid w:val="008C01A1"/>
    <w:rsid w:val="008C0D57"/>
    <w:rsid w:val="008C0E51"/>
    <w:rsid w:val="008C17DC"/>
    <w:rsid w:val="008C195D"/>
    <w:rsid w:val="008C1AC7"/>
    <w:rsid w:val="008C1D49"/>
    <w:rsid w:val="008C210C"/>
    <w:rsid w:val="008C23F6"/>
    <w:rsid w:val="008C254B"/>
    <w:rsid w:val="008C25D1"/>
    <w:rsid w:val="008C2CB7"/>
    <w:rsid w:val="008C2CE2"/>
    <w:rsid w:val="008C2E06"/>
    <w:rsid w:val="008C33F7"/>
    <w:rsid w:val="008C351A"/>
    <w:rsid w:val="008C38A2"/>
    <w:rsid w:val="008C39E2"/>
    <w:rsid w:val="008C39E9"/>
    <w:rsid w:val="008C3A10"/>
    <w:rsid w:val="008C3C79"/>
    <w:rsid w:val="008C3DBC"/>
    <w:rsid w:val="008C44C7"/>
    <w:rsid w:val="008C46C6"/>
    <w:rsid w:val="008C5293"/>
    <w:rsid w:val="008C56F6"/>
    <w:rsid w:val="008C63AA"/>
    <w:rsid w:val="008C6E74"/>
    <w:rsid w:val="008C6F11"/>
    <w:rsid w:val="008C7379"/>
    <w:rsid w:val="008C78B5"/>
    <w:rsid w:val="008C7E5F"/>
    <w:rsid w:val="008C7E6C"/>
    <w:rsid w:val="008D0760"/>
    <w:rsid w:val="008D0AF6"/>
    <w:rsid w:val="008D1137"/>
    <w:rsid w:val="008D124D"/>
    <w:rsid w:val="008D145F"/>
    <w:rsid w:val="008D16FD"/>
    <w:rsid w:val="008D17DC"/>
    <w:rsid w:val="008D1C6B"/>
    <w:rsid w:val="008D1C9D"/>
    <w:rsid w:val="008D1CEA"/>
    <w:rsid w:val="008D1E79"/>
    <w:rsid w:val="008D24AD"/>
    <w:rsid w:val="008D32E6"/>
    <w:rsid w:val="008D3621"/>
    <w:rsid w:val="008D38A5"/>
    <w:rsid w:val="008D39DF"/>
    <w:rsid w:val="008D39E0"/>
    <w:rsid w:val="008D3A98"/>
    <w:rsid w:val="008D3C79"/>
    <w:rsid w:val="008D4103"/>
    <w:rsid w:val="008D412F"/>
    <w:rsid w:val="008D4242"/>
    <w:rsid w:val="008D42EE"/>
    <w:rsid w:val="008D47FC"/>
    <w:rsid w:val="008D4BED"/>
    <w:rsid w:val="008D4DF2"/>
    <w:rsid w:val="008D5805"/>
    <w:rsid w:val="008D5B73"/>
    <w:rsid w:val="008D5BC5"/>
    <w:rsid w:val="008D634A"/>
    <w:rsid w:val="008D6455"/>
    <w:rsid w:val="008D6F20"/>
    <w:rsid w:val="008D7249"/>
    <w:rsid w:val="008D74A7"/>
    <w:rsid w:val="008D7979"/>
    <w:rsid w:val="008E01F6"/>
    <w:rsid w:val="008E0214"/>
    <w:rsid w:val="008E0443"/>
    <w:rsid w:val="008E04DC"/>
    <w:rsid w:val="008E055D"/>
    <w:rsid w:val="008E07BF"/>
    <w:rsid w:val="008E0829"/>
    <w:rsid w:val="008E0B29"/>
    <w:rsid w:val="008E1270"/>
    <w:rsid w:val="008E1401"/>
    <w:rsid w:val="008E17E0"/>
    <w:rsid w:val="008E1F87"/>
    <w:rsid w:val="008E21BF"/>
    <w:rsid w:val="008E228A"/>
    <w:rsid w:val="008E29B1"/>
    <w:rsid w:val="008E2A20"/>
    <w:rsid w:val="008E3273"/>
    <w:rsid w:val="008E3B6D"/>
    <w:rsid w:val="008E42F3"/>
    <w:rsid w:val="008E4505"/>
    <w:rsid w:val="008E5514"/>
    <w:rsid w:val="008E581B"/>
    <w:rsid w:val="008E6252"/>
    <w:rsid w:val="008E625B"/>
    <w:rsid w:val="008E71D6"/>
    <w:rsid w:val="008E7AA1"/>
    <w:rsid w:val="008E7E31"/>
    <w:rsid w:val="008E7E32"/>
    <w:rsid w:val="008F0082"/>
    <w:rsid w:val="008F026D"/>
    <w:rsid w:val="008F0952"/>
    <w:rsid w:val="008F0D4E"/>
    <w:rsid w:val="008F103C"/>
    <w:rsid w:val="008F1559"/>
    <w:rsid w:val="008F211B"/>
    <w:rsid w:val="008F23D0"/>
    <w:rsid w:val="008F2BA4"/>
    <w:rsid w:val="008F2C71"/>
    <w:rsid w:val="008F2D11"/>
    <w:rsid w:val="008F2D8B"/>
    <w:rsid w:val="008F32E0"/>
    <w:rsid w:val="008F367E"/>
    <w:rsid w:val="008F389A"/>
    <w:rsid w:val="008F3F11"/>
    <w:rsid w:val="008F42F5"/>
    <w:rsid w:val="008F465D"/>
    <w:rsid w:val="008F49CA"/>
    <w:rsid w:val="008F4DA2"/>
    <w:rsid w:val="008F50D6"/>
    <w:rsid w:val="008F555D"/>
    <w:rsid w:val="008F5AAB"/>
    <w:rsid w:val="008F628E"/>
    <w:rsid w:val="008F67D1"/>
    <w:rsid w:val="008F6AEA"/>
    <w:rsid w:val="008F6BCA"/>
    <w:rsid w:val="008F7067"/>
    <w:rsid w:val="008F7464"/>
    <w:rsid w:val="008F7BA1"/>
    <w:rsid w:val="008F7BA7"/>
    <w:rsid w:val="008F7BB7"/>
    <w:rsid w:val="0090030D"/>
    <w:rsid w:val="0090043A"/>
    <w:rsid w:val="00901BA7"/>
    <w:rsid w:val="00901CA2"/>
    <w:rsid w:val="00902000"/>
    <w:rsid w:val="0090283C"/>
    <w:rsid w:val="00902965"/>
    <w:rsid w:val="00902F1A"/>
    <w:rsid w:val="00902FD4"/>
    <w:rsid w:val="00903042"/>
    <w:rsid w:val="009034D2"/>
    <w:rsid w:val="00903753"/>
    <w:rsid w:val="009041D5"/>
    <w:rsid w:val="009042D0"/>
    <w:rsid w:val="00904442"/>
    <w:rsid w:val="00904780"/>
    <w:rsid w:val="00904AC1"/>
    <w:rsid w:val="00904BFD"/>
    <w:rsid w:val="009051F0"/>
    <w:rsid w:val="009054C6"/>
    <w:rsid w:val="00905679"/>
    <w:rsid w:val="0090599F"/>
    <w:rsid w:val="00905AC6"/>
    <w:rsid w:val="00905B20"/>
    <w:rsid w:val="00905E78"/>
    <w:rsid w:val="00906200"/>
    <w:rsid w:val="0090641C"/>
    <w:rsid w:val="0090660A"/>
    <w:rsid w:val="00906DF5"/>
    <w:rsid w:val="00910769"/>
    <w:rsid w:val="009107B5"/>
    <w:rsid w:val="00910A07"/>
    <w:rsid w:val="00910A96"/>
    <w:rsid w:val="00910F10"/>
    <w:rsid w:val="009111FA"/>
    <w:rsid w:val="00911477"/>
    <w:rsid w:val="009114D5"/>
    <w:rsid w:val="00911C1D"/>
    <w:rsid w:val="00911CE2"/>
    <w:rsid w:val="00911D45"/>
    <w:rsid w:val="0091245F"/>
    <w:rsid w:val="00912728"/>
    <w:rsid w:val="00912AB6"/>
    <w:rsid w:val="00912E06"/>
    <w:rsid w:val="00913825"/>
    <w:rsid w:val="0091509C"/>
    <w:rsid w:val="009153BC"/>
    <w:rsid w:val="00915518"/>
    <w:rsid w:val="009159AD"/>
    <w:rsid w:val="00915C6C"/>
    <w:rsid w:val="00915CCD"/>
    <w:rsid w:val="00915CF9"/>
    <w:rsid w:val="00915D82"/>
    <w:rsid w:val="00916362"/>
    <w:rsid w:val="0091646E"/>
    <w:rsid w:val="009164AB"/>
    <w:rsid w:val="009168C2"/>
    <w:rsid w:val="0091708A"/>
    <w:rsid w:val="009173CB"/>
    <w:rsid w:val="00917440"/>
    <w:rsid w:val="00920072"/>
    <w:rsid w:val="00920133"/>
    <w:rsid w:val="00920212"/>
    <w:rsid w:val="0092034A"/>
    <w:rsid w:val="009209FC"/>
    <w:rsid w:val="00920B8C"/>
    <w:rsid w:val="00920D07"/>
    <w:rsid w:val="00920EFC"/>
    <w:rsid w:val="00921662"/>
    <w:rsid w:val="009217A8"/>
    <w:rsid w:val="00921814"/>
    <w:rsid w:val="009220DC"/>
    <w:rsid w:val="00922157"/>
    <w:rsid w:val="009228BC"/>
    <w:rsid w:val="00922BEE"/>
    <w:rsid w:val="00922EF6"/>
    <w:rsid w:val="00922F2D"/>
    <w:rsid w:val="009234CC"/>
    <w:rsid w:val="00923D70"/>
    <w:rsid w:val="00923FD4"/>
    <w:rsid w:val="009241F2"/>
    <w:rsid w:val="0092428A"/>
    <w:rsid w:val="00924A81"/>
    <w:rsid w:val="00924E85"/>
    <w:rsid w:val="00924F99"/>
    <w:rsid w:val="009253CD"/>
    <w:rsid w:val="00925735"/>
    <w:rsid w:val="009258CA"/>
    <w:rsid w:val="00925E16"/>
    <w:rsid w:val="00925EF9"/>
    <w:rsid w:val="00925FFB"/>
    <w:rsid w:val="00926036"/>
    <w:rsid w:val="00926131"/>
    <w:rsid w:val="00926383"/>
    <w:rsid w:val="00926C46"/>
    <w:rsid w:val="00926CF7"/>
    <w:rsid w:val="00927125"/>
    <w:rsid w:val="00927385"/>
    <w:rsid w:val="00927690"/>
    <w:rsid w:val="009279B6"/>
    <w:rsid w:val="00927B77"/>
    <w:rsid w:val="00927BAD"/>
    <w:rsid w:val="009308BF"/>
    <w:rsid w:val="0093096F"/>
    <w:rsid w:val="00930E5B"/>
    <w:rsid w:val="00931533"/>
    <w:rsid w:val="00931632"/>
    <w:rsid w:val="009316B4"/>
    <w:rsid w:val="00931707"/>
    <w:rsid w:val="009319F6"/>
    <w:rsid w:val="009322DD"/>
    <w:rsid w:val="00932469"/>
    <w:rsid w:val="009326CA"/>
    <w:rsid w:val="00932790"/>
    <w:rsid w:val="009327D0"/>
    <w:rsid w:val="00932BC6"/>
    <w:rsid w:val="00932D98"/>
    <w:rsid w:val="00933508"/>
    <w:rsid w:val="00933A79"/>
    <w:rsid w:val="00933D96"/>
    <w:rsid w:val="00934E85"/>
    <w:rsid w:val="00934F4B"/>
    <w:rsid w:val="009354A6"/>
    <w:rsid w:val="0093570C"/>
    <w:rsid w:val="0093601F"/>
    <w:rsid w:val="00936936"/>
    <w:rsid w:val="00936DEA"/>
    <w:rsid w:val="00936E6B"/>
    <w:rsid w:val="009371FE"/>
    <w:rsid w:val="00937487"/>
    <w:rsid w:val="00937526"/>
    <w:rsid w:val="00937825"/>
    <w:rsid w:val="00937857"/>
    <w:rsid w:val="00937E0A"/>
    <w:rsid w:val="0094018C"/>
    <w:rsid w:val="00940974"/>
    <w:rsid w:val="00940B46"/>
    <w:rsid w:val="00940DA2"/>
    <w:rsid w:val="00940E50"/>
    <w:rsid w:val="00941AF2"/>
    <w:rsid w:val="00941CDD"/>
    <w:rsid w:val="00941E19"/>
    <w:rsid w:val="00942544"/>
    <w:rsid w:val="009425F0"/>
    <w:rsid w:val="00942F0F"/>
    <w:rsid w:val="00943247"/>
    <w:rsid w:val="00943E4E"/>
    <w:rsid w:val="00943F26"/>
    <w:rsid w:val="0094482D"/>
    <w:rsid w:val="00944A72"/>
    <w:rsid w:val="00944AE7"/>
    <w:rsid w:val="00944C08"/>
    <w:rsid w:val="00944C86"/>
    <w:rsid w:val="00944D70"/>
    <w:rsid w:val="009452F8"/>
    <w:rsid w:val="0094544A"/>
    <w:rsid w:val="00945891"/>
    <w:rsid w:val="00945A82"/>
    <w:rsid w:val="00945B3B"/>
    <w:rsid w:val="00945B67"/>
    <w:rsid w:val="00945D91"/>
    <w:rsid w:val="00945F75"/>
    <w:rsid w:val="00946180"/>
    <w:rsid w:val="009461E8"/>
    <w:rsid w:val="0094622F"/>
    <w:rsid w:val="00946354"/>
    <w:rsid w:val="00946517"/>
    <w:rsid w:val="009469BC"/>
    <w:rsid w:val="00946A5E"/>
    <w:rsid w:val="00946DFB"/>
    <w:rsid w:val="00946E42"/>
    <w:rsid w:val="0094723D"/>
    <w:rsid w:val="009472C8"/>
    <w:rsid w:val="00947A36"/>
    <w:rsid w:val="00950571"/>
    <w:rsid w:val="009505D4"/>
    <w:rsid w:val="00950693"/>
    <w:rsid w:val="00950818"/>
    <w:rsid w:val="00950948"/>
    <w:rsid w:val="00950EA0"/>
    <w:rsid w:val="00951885"/>
    <w:rsid w:val="00951E43"/>
    <w:rsid w:val="00952403"/>
    <w:rsid w:val="0095286D"/>
    <w:rsid w:val="00952C5E"/>
    <w:rsid w:val="00952DC0"/>
    <w:rsid w:val="00952EC4"/>
    <w:rsid w:val="00953109"/>
    <w:rsid w:val="00953C42"/>
    <w:rsid w:val="00954717"/>
    <w:rsid w:val="009548B5"/>
    <w:rsid w:val="0095491A"/>
    <w:rsid w:val="00954B20"/>
    <w:rsid w:val="00954CAE"/>
    <w:rsid w:val="00955066"/>
    <w:rsid w:val="00955554"/>
    <w:rsid w:val="0095572F"/>
    <w:rsid w:val="00955C60"/>
    <w:rsid w:val="00955FA9"/>
    <w:rsid w:val="00956478"/>
    <w:rsid w:val="009569B1"/>
    <w:rsid w:val="00956D26"/>
    <w:rsid w:val="00956D53"/>
    <w:rsid w:val="00957B79"/>
    <w:rsid w:val="00957CC3"/>
    <w:rsid w:val="00957EB0"/>
    <w:rsid w:val="00960226"/>
    <w:rsid w:val="009608AC"/>
    <w:rsid w:val="00960B31"/>
    <w:rsid w:val="00960B5E"/>
    <w:rsid w:val="00961132"/>
    <w:rsid w:val="009612AD"/>
    <w:rsid w:val="00961851"/>
    <w:rsid w:val="009623B7"/>
    <w:rsid w:val="0096243D"/>
    <w:rsid w:val="0096299F"/>
    <w:rsid w:val="00962CF3"/>
    <w:rsid w:val="009634BB"/>
    <w:rsid w:val="00963DF1"/>
    <w:rsid w:val="00963EBA"/>
    <w:rsid w:val="00964A2C"/>
    <w:rsid w:val="00964DD2"/>
    <w:rsid w:val="00964EA8"/>
    <w:rsid w:val="00964FDB"/>
    <w:rsid w:val="00965712"/>
    <w:rsid w:val="00965740"/>
    <w:rsid w:val="0096678F"/>
    <w:rsid w:val="009670B9"/>
    <w:rsid w:val="0096743B"/>
    <w:rsid w:val="00967836"/>
    <w:rsid w:val="0096796F"/>
    <w:rsid w:val="00970364"/>
    <w:rsid w:val="00970715"/>
    <w:rsid w:val="00970D05"/>
    <w:rsid w:val="00971652"/>
    <w:rsid w:val="00971D0A"/>
    <w:rsid w:val="00971D38"/>
    <w:rsid w:val="00972A0F"/>
    <w:rsid w:val="009732CC"/>
    <w:rsid w:val="009735A9"/>
    <w:rsid w:val="00973695"/>
    <w:rsid w:val="009738F8"/>
    <w:rsid w:val="00973A3B"/>
    <w:rsid w:val="00974034"/>
    <w:rsid w:val="009749CD"/>
    <w:rsid w:val="009755E9"/>
    <w:rsid w:val="009756CF"/>
    <w:rsid w:val="00975A2E"/>
    <w:rsid w:val="00975F91"/>
    <w:rsid w:val="0097670B"/>
    <w:rsid w:val="00976940"/>
    <w:rsid w:val="00976A89"/>
    <w:rsid w:val="00976B26"/>
    <w:rsid w:val="00976D6D"/>
    <w:rsid w:val="00977161"/>
    <w:rsid w:val="0097778F"/>
    <w:rsid w:val="00977AFF"/>
    <w:rsid w:val="00977BF8"/>
    <w:rsid w:val="00977D30"/>
    <w:rsid w:val="0098004B"/>
    <w:rsid w:val="009800A4"/>
    <w:rsid w:val="009800F7"/>
    <w:rsid w:val="009803D2"/>
    <w:rsid w:val="009804F1"/>
    <w:rsid w:val="009806C7"/>
    <w:rsid w:val="00980AD6"/>
    <w:rsid w:val="00980C85"/>
    <w:rsid w:val="009814A2"/>
    <w:rsid w:val="00981555"/>
    <w:rsid w:val="009818AC"/>
    <w:rsid w:val="00981BA7"/>
    <w:rsid w:val="009827E0"/>
    <w:rsid w:val="00982F36"/>
    <w:rsid w:val="009837C8"/>
    <w:rsid w:val="00983902"/>
    <w:rsid w:val="009839CE"/>
    <w:rsid w:val="00983A9A"/>
    <w:rsid w:val="0098466D"/>
    <w:rsid w:val="00985544"/>
    <w:rsid w:val="0098591D"/>
    <w:rsid w:val="00985A73"/>
    <w:rsid w:val="00985B31"/>
    <w:rsid w:val="00985CA2"/>
    <w:rsid w:val="00985E87"/>
    <w:rsid w:val="00985EF9"/>
    <w:rsid w:val="00985F7F"/>
    <w:rsid w:val="00986654"/>
    <w:rsid w:val="00986B18"/>
    <w:rsid w:val="00987694"/>
    <w:rsid w:val="00987850"/>
    <w:rsid w:val="00987CB8"/>
    <w:rsid w:val="00987E79"/>
    <w:rsid w:val="00987FA9"/>
    <w:rsid w:val="00990649"/>
    <w:rsid w:val="0099077E"/>
    <w:rsid w:val="00990A87"/>
    <w:rsid w:val="00990A96"/>
    <w:rsid w:val="00990D99"/>
    <w:rsid w:val="00990EB4"/>
    <w:rsid w:val="009912C8"/>
    <w:rsid w:val="00991376"/>
    <w:rsid w:val="00991461"/>
    <w:rsid w:val="00991907"/>
    <w:rsid w:val="00991A90"/>
    <w:rsid w:val="00991CA3"/>
    <w:rsid w:val="00991DF4"/>
    <w:rsid w:val="00991EC0"/>
    <w:rsid w:val="00992021"/>
    <w:rsid w:val="009922FB"/>
    <w:rsid w:val="0099245F"/>
    <w:rsid w:val="009926C8"/>
    <w:rsid w:val="00992BA6"/>
    <w:rsid w:val="00993313"/>
    <w:rsid w:val="009933EE"/>
    <w:rsid w:val="009934F5"/>
    <w:rsid w:val="009939BA"/>
    <w:rsid w:val="00993CF3"/>
    <w:rsid w:val="00993E58"/>
    <w:rsid w:val="009942EF"/>
    <w:rsid w:val="009944E2"/>
    <w:rsid w:val="0099474B"/>
    <w:rsid w:val="00994B26"/>
    <w:rsid w:val="0099568A"/>
    <w:rsid w:val="00995B8E"/>
    <w:rsid w:val="00995D08"/>
    <w:rsid w:val="00995F04"/>
    <w:rsid w:val="0099739F"/>
    <w:rsid w:val="009974AE"/>
    <w:rsid w:val="00997CBC"/>
    <w:rsid w:val="00997E71"/>
    <w:rsid w:val="00997E79"/>
    <w:rsid w:val="00997EEB"/>
    <w:rsid w:val="009A0063"/>
    <w:rsid w:val="009A0137"/>
    <w:rsid w:val="009A0389"/>
    <w:rsid w:val="009A0462"/>
    <w:rsid w:val="009A04CA"/>
    <w:rsid w:val="009A069E"/>
    <w:rsid w:val="009A0A14"/>
    <w:rsid w:val="009A0C6E"/>
    <w:rsid w:val="009A0D71"/>
    <w:rsid w:val="009A128B"/>
    <w:rsid w:val="009A15FD"/>
    <w:rsid w:val="009A1753"/>
    <w:rsid w:val="009A1DBC"/>
    <w:rsid w:val="009A278C"/>
    <w:rsid w:val="009A2B4F"/>
    <w:rsid w:val="009A2C21"/>
    <w:rsid w:val="009A2E3A"/>
    <w:rsid w:val="009A354B"/>
    <w:rsid w:val="009A3C13"/>
    <w:rsid w:val="009A3DE0"/>
    <w:rsid w:val="009A42E7"/>
    <w:rsid w:val="009A44D2"/>
    <w:rsid w:val="009A4843"/>
    <w:rsid w:val="009A49E4"/>
    <w:rsid w:val="009A51DC"/>
    <w:rsid w:val="009A5B80"/>
    <w:rsid w:val="009A64B0"/>
    <w:rsid w:val="009A6846"/>
    <w:rsid w:val="009A6AED"/>
    <w:rsid w:val="009A6DC9"/>
    <w:rsid w:val="009A7A4B"/>
    <w:rsid w:val="009A7CEE"/>
    <w:rsid w:val="009B05A7"/>
    <w:rsid w:val="009B1570"/>
    <w:rsid w:val="009B1B2B"/>
    <w:rsid w:val="009B1C99"/>
    <w:rsid w:val="009B20CC"/>
    <w:rsid w:val="009B24F6"/>
    <w:rsid w:val="009B2845"/>
    <w:rsid w:val="009B2CBB"/>
    <w:rsid w:val="009B2F14"/>
    <w:rsid w:val="009B2FB9"/>
    <w:rsid w:val="009B30F4"/>
    <w:rsid w:val="009B3369"/>
    <w:rsid w:val="009B3E62"/>
    <w:rsid w:val="009B4EA4"/>
    <w:rsid w:val="009B5343"/>
    <w:rsid w:val="009B55B8"/>
    <w:rsid w:val="009B5B22"/>
    <w:rsid w:val="009B5C6A"/>
    <w:rsid w:val="009B641C"/>
    <w:rsid w:val="009B6EC4"/>
    <w:rsid w:val="009B6F6F"/>
    <w:rsid w:val="009B724C"/>
    <w:rsid w:val="009B78BA"/>
    <w:rsid w:val="009B79D1"/>
    <w:rsid w:val="009C011F"/>
    <w:rsid w:val="009C0279"/>
    <w:rsid w:val="009C0562"/>
    <w:rsid w:val="009C0EE4"/>
    <w:rsid w:val="009C0F2C"/>
    <w:rsid w:val="009C1175"/>
    <w:rsid w:val="009C1687"/>
    <w:rsid w:val="009C1805"/>
    <w:rsid w:val="009C180B"/>
    <w:rsid w:val="009C1EAB"/>
    <w:rsid w:val="009C22FD"/>
    <w:rsid w:val="009C2490"/>
    <w:rsid w:val="009C2498"/>
    <w:rsid w:val="009C256E"/>
    <w:rsid w:val="009C2A4E"/>
    <w:rsid w:val="009C2B7E"/>
    <w:rsid w:val="009C2C06"/>
    <w:rsid w:val="009C2DBA"/>
    <w:rsid w:val="009C2E7B"/>
    <w:rsid w:val="009C3F3F"/>
    <w:rsid w:val="009C44CF"/>
    <w:rsid w:val="009C450D"/>
    <w:rsid w:val="009C4677"/>
    <w:rsid w:val="009C555C"/>
    <w:rsid w:val="009C56F7"/>
    <w:rsid w:val="009C5778"/>
    <w:rsid w:val="009C5954"/>
    <w:rsid w:val="009C5C3D"/>
    <w:rsid w:val="009C5C48"/>
    <w:rsid w:val="009C6088"/>
    <w:rsid w:val="009C6190"/>
    <w:rsid w:val="009C61E1"/>
    <w:rsid w:val="009C6A26"/>
    <w:rsid w:val="009C6A90"/>
    <w:rsid w:val="009C6CFE"/>
    <w:rsid w:val="009C72EF"/>
    <w:rsid w:val="009C7767"/>
    <w:rsid w:val="009D0EB0"/>
    <w:rsid w:val="009D0F43"/>
    <w:rsid w:val="009D10DF"/>
    <w:rsid w:val="009D10F0"/>
    <w:rsid w:val="009D13EE"/>
    <w:rsid w:val="009D1BB4"/>
    <w:rsid w:val="009D1C53"/>
    <w:rsid w:val="009D2080"/>
    <w:rsid w:val="009D2097"/>
    <w:rsid w:val="009D251E"/>
    <w:rsid w:val="009D2DAF"/>
    <w:rsid w:val="009D303B"/>
    <w:rsid w:val="009D31ED"/>
    <w:rsid w:val="009D3505"/>
    <w:rsid w:val="009D354B"/>
    <w:rsid w:val="009D36C0"/>
    <w:rsid w:val="009D3872"/>
    <w:rsid w:val="009D3A62"/>
    <w:rsid w:val="009D3B0C"/>
    <w:rsid w:val="009D41CF"/>
    <w:rsid w:val="009D445D"/>
    <w:rsid w:val="009D44AF"/>
    <w:rsid w:val="009D4507"/>
    <w:rsid w:val="009D4625"/>
    <w:rsid w:val="009D468C"/>
    <w:rsid w:val="009D4E93"/>
    <w:rsid w:val="009D4F27"/>
    <w:rsid w:val="009D4F2C"/>
    <w:rsid w:val="009D5183"/>
    <w:rsid w:val="009D521B"/>
    <w:rsid w:val="009D5707"/>
    <w:rsid w:val="009D612E"/>
    <w:rsid w:val="009D6392"/>
    <w:rsid w:val="009D65B1"/>
    <w:rsid w:val="009D65FA"/>
    <w:rsid w:val="009D683E"/>
    <w:rsid w:val="009D700A"/>
    <w:rsid w:val="009D7281"/>
    <w:rsid w:val="009D747B"/>
    <w:rsid w:val="009D7574"/>
    <w:rsid w:val="009D77E3"/>
    <w:rsid w:val="009D7D29"/>
    <w:rsid w:val="009D7D7C"/>
    <w:rsid w:val="009D7FBF"/>
    <w:rsid w:val="009E0042"/>
    <w:rsid w:val="009E027B"/>
    <w:rsid w:val="009E054C"/>
    <w:rsid w:val="009E06C4"/>
    <w:rsid w:val="009E0881"/>
    <w:rsid w:val="009E1182"/>
    <w:rsid w:val="009E1C1F"/>
    <w:rsid w:val="009E1C29"/>
    <w:rsid w:val="009E2008"/>
    <w:rsid w:val="009E2009"/>
    <w:rsid w:val="009E2061"/>
    <w:rsid w:val="009E22F1"/>
    <w:rsid w:val="009E23FF"/>
    <w:rsid w:val="009E2929"/>
    <w:rsid w:val="009E2947"/>
    <w:rsid w:val="009E2AA3"/>
    <w:rsid w:val="009E2D87"/>
    <w:rsid w:val="009E30C6"/>
    <w:rsid w:val="009E31E0"/>
    <w:rsid w:val="009E33C4"/>
    <w:rsid w:val="009E33C6"/>
    <w:rsid w:val="009E3600"/>
    <w:rsid w:val="009E3ECD"/>
    <w:rsid w:val="009E421D"/>
    <w:rsid w:val="009E4395"/>
    <w:rsid w:val="009E4666"/>
    <w:rsid w:val="009E4ED4"/>
    <w:rsid w:val="009E5158"/>
    <w:rsid w:val="009E582F"/>
    <w:rsid w:val="009E5C12"/>
    <w:rsid w:val="009E6038"/>
    <w:rsid w:val="009E60F9"/>
    <w:rsid w:val="009E647C"/>
    <w:rsid w:val="009E670C"/>
    <w:rsid w:val="009E7005"/>
    <w:rsid w:val="009E7220"/>
    <w:rsid w:val="009EAFD3"/>
    <w:rsid w:val="009F04DC"/>
    <w:rsid w:val="009F29B0"/>
    <w:rsid w:val="009F2D9A"/>
    <w:rsid w:val="009F30DD"/>
    <w:rsid w:val="009F35FB"/>
    <w:rsid w:val="009F3702"/>
    <w:rsid w:val="009F4BDF"/>
    <w:rsid w:val="009F4DEA"/>
    <w:rsid w:val="009F5175"/>
    <w:rsid w:val="009F5CBE"/>
    <w:rsid w:val="009F5DEF"/>
    <w:rsid w:val="009F6052"/>
    <w:rsid w:val="009F6500"/>
    <w:rsid w:val="009F767D"/>
    <w:rsid w:val="009F7B01"/>
    <w:rsid w:val="009F7BC7"/>
    <w:rsid w:val="009F7F33"/>
    <w:rsid w:val="00A00416"/>
    <w:rsid w:val="00A004E7"/>
    <w:rsid w:val="00A0067B"/>
    <w:rsid w:val="00A00DA0"/>
    <w:rsid w:val="00A01412"/>
    <w:rsid w:val="00A0154A"/>
    <w:rsid w:val="00A0193C"/>
    <w:rsid w:val="00A01A53"/>
    <w:rsid w:val="00A01E02"/>
    <w:rsid w:val="00A020C0"/>
    <w:rsid w:val="00A025A1"/>
    <w:rsid w:val="00A02CCC"/>
    <w:rsid w:val="00A03103"/>
    <w:rsid w:val="00A033A5"/>
    <w:rsid w:val="00A03769"/>
    <w:rsid w:val="00A03CE9"/>
    <w:rsid w:val="00A03EFF"/>
    <w:rsid w:val="00A0441C"/>
    <w:rsid w:val="00A04F29"/>
    <w:rsid w:val="00A058C5"/>
    <w:rsid w:val="00A05927"/>
    <w:rsid w:val="00A05D92"/>
    <w:rsid w:val="00A05E03"/>
    <w:rsid w:val="00A05F4C"/>
    <w:rsid w:val="00A06556"/>
    <w:rsid w:val="00A06587"/>
    <w:rsid w:val="00A06971"/>
    <w:rsid w:val="00A06ABD"/>
    <w:rsid w:val="00A06E1C"/>
    <w:rsid w:val="00A06F02"/>
    <w:rsid w:val="00A073D7"/>
    <w:rsid w:val="00A07B8D"/>
    <w:rsid w:val="00A07E74"/>
    <w:rsid w:val="00A104F0"/>
    <w:rsid w:val="00A1086B"/>
    <w:rsid w:val="00A10A6F"/>
    <w:rsid w:val="00A10DA0"/>
    <w:rsid w:val="00A1184F"/>
    <w:rsid w:val="00A11AD0"/>
    <w:rsid w:val="00A120A1"/>
    <w:rsid w:val="00A122A8"/>
    <w:rsid w:val="00A12643"/>
    <w:rsid w:val="00A12669"/>
    <w:rsid w:val="00A12705"/>
    <w:rsid w:val="00A127CA"/>
    <w:rsid w:val="00A12A7E"/>
    <w:rsid w:val="00A1312C"/>
    <w:rsid w:val="00A133E4"/>
    <w:rsid w:val="00A134E9"/>
    <w:rsid w:val="00A13811"/>
    <w:rsid w:val="00A15378"/>
    <w:rsid w:val="00A15924"/>
    <w:rsid w:val="00A15CC6"/>
    <w:rsid w:val="00A15D71"/>
    <w:rsid w:val="00A15DE3"/>
    <w:rsid w:val="00A15E61"/>
    <w:rsid w:val="00A16565"/>
    <w:rsid w:val="00A1687B"/>
    <w:rsid w:val="00A169F9"/>
    <w:rsid w:val="00A16CA7"/>
    <w:rsid w:val="00A16CB9"/>
    <w:rsid w:val="00A16E5E"/>
    <w:rsid w:val="00A174AD"/>
    <w:rsid w:val="00A17C3E"/>
    <w:rsid w:val="00A17D3D"/>
    <w:rsid w:val="00A17D56"/>
    <w:rsid w:val="00A203C2"/>
    <w:rsid w:val="00A2057D"/>
    <w:rsid w:val="00A206A4"/>
    <w:rsid w:val="00A20B01"/>
    <w:rsid w:val="00A20B6C"/>
    <w:rsid w:val="00A2119E"/>
    <w:rsid w:val="00A2146D"/>
    <w:rsid w:val="00A21913"/>
    <w:rsid w:val="00A21C98"/>
    <w:rsid w:val="00A22766"/>
    <w:rsid w:val="00A227AA"/>
    <w:rsid w:val="00A22AE6"/>
    <w:rsid w:val="00A23041"/>
    <w:rsid w:val="00A23B0C"/>
    <w:rsid w:val="00A23EEA"/>
    <w:rsid w:val="00A24514"/>
    <w:rsid w:val="00A25432"/>
    <w:rsid w:val="00A25453"/>
    <w:rsid w:val="00A257EE"/>
    <w:rsid w:val="00A25CEC"/>
    <w:rsid w:val="00A25E93"/>
    <w:rsid w:val="00A260A3"/>
    <w:rsid w:val="00A26231"/>
    <w:rsid w:val="00A2634F"/>
    <w:rsid w:val="00A26955"/>
    <w:rsid w:val="00A27574"/>
    <w:rsid w:val="00A27A89"/>
    <w:rsid w:val="00A3011B"/>
    <w:rsid w:val="00A303CE"/>
    <w:rsid w:val="00A3082C"/>
    <w:rsid w:val="00A30CEC"/>
    <w:rsid w:val="00A30DBA"/>
    <w:rsid w:val="00A30E7C"/>
    <w:rsid w:val="00A30F25"/>
    <w:rsid w:val="00A31016"/>
    <w:rsid w:val="00A31344"/>
    <w:rsid w:val="00A318C8"/>
    <w:rsid w:val="00A31D8F"/>
    <w:rsid w:val="00A32229"/>
    <w:rsid w:val="00A32808"/>
    <w:rsid w:val="00A32E3F"/>
    <w:rsid w:val="00A32EE8"/>
    <w:rsid w:val="00A33059"/>
    <w:rsid w:val="00A33858"/>
    <w:rsid w:val="00A339A9"/>
    <w:rsid w:val="00A34333"/>
    <w:rsid w:val="00A3437B"/>
    <w:rsid w:val="00A343F8"/>
    <w:rsid w:val="00A34849"/>
    <w:rsid w:val="00A3487D"/>
    <w:rsid w:val="00A34883"/>
    <w:rsid w:val="00A34950"/>
    <w:rsid w:val="00A35063"/>
    <w:rsid w:val="00A3528E"/>
    <w:rsid w:val="00A3537A"/>
    <w:rsid w:val="00A35D05"/>
    <w:rsid w:val="00A3625E"/>
    <w:rsid w:val="00A3673D"/>
    <w:rsid w:val="00A369E6"/>
    <w:rsid w:val="00A36D09"/>
    <w:rsid w:val="00A36D0D"/>
    <w:rsid w:val="00A37088"/>
    <w:rsid w:val="00A370AD"/>
    <w:rsid w:val="00A375B7"/>
    <w:rsid w:val="00A375CC"/>
    <w:rsid w:val="00A37C68"/>
    <w:rsid w:val="00A37CDC"/>
    <w:rsid w:val="00A401ED"/>
    <w:rsid w:val="00A405FD"/>
    <w:rsid w:val="00A40723"/>
    <w:rsid w:val="00A409CF"/>
    <w:rsid w:val="00A40A59"/>
    <w:rsid w:val="00A40CB6"/>
    <w:rsid w:val="00A40DCF"/>
    <w:rsid w:val="00A4128C"/>
    <w:rsid w:val="00A41A8C"/>
    <w:rsid w:val="00A41C26"/>
    <w:rsid w:val="00A41CC4"/>
    <w:rsid w:val="00A41E6C"/>
    <w:rsid w:val="00A42C6C"/>
    <w:rsid w:val="00A42FFC"/>
    <w:rsid w:val="00A43024"/>
    <w:rsid w:val="00A43894"/>
    <w:rsid w:val="00A43ABA"/>
    <w:rsid w:val="00A43C65"/>
    <w:rsid w:val="00A43F93"/>
    <w:rsid w:val="00A441D1"/>
    <w:rsid w:val="00A448D7"/>
    <w:rsid w:val="00A45299"/>
    <w:rsid w:val="00A45495"/>
    <w:rsid w:val="00A455E8"/>
    <w:rsid w:val="00A45C61"/>
    <w:rsid w:val="00A45D4C"/>
    <w:rsid w:val="00A46209"/>
    <w:rsid w:val="00A46350"/>
    <w:rsid w:val="00A469AF"/>
    <w:rsid w:val="00A46B2B"/>
    <w:rsid w:val="00A47792"/>
    <w:rsid w:val="00A47B5F"/>
    <w:rsid w:val="00A47FCE"/>
    <w:rsid w:val="00A50004"/>
    <w:rsid w:val="00A5001E"/>
    <w:rsid w:val="00A50259"/>
    <w:rsid w:val="00A505CF"/>
    <w:rsid w:val="00A5069B"/>
    <w:rsid w:val="00A5104A"/>
    <w:rsid w:val="00A510C9"/>
    <w:rsid w:val="00A51391"/>
    <w:rsid w:val="00A516A6"/>
    <w:rsid w:val="00A519DC"/>
    <w:rsid w:val="00A51A31"/>
    <w:rsid w:val="00A52669"/>
    <w:rsid w:val="00A526DA"/>
    <w:rsid w:val="00A5297F"/>
    <w:rsid w:val="00A52A8A"/>
    <w:rsid w:val="00A52BF2"/>
    <w:rsid w:val="00A52E6B"/>
    <w:rsid w:val="00A5319D"/>
    <w:rsid w:val="00A531E6"/>
    <w:rsid w:val="00A53587"/>
    <w:rsid w:val="00A535D3"/>
    <w:rsid w:val="00A536A1"/>
    <w:rsid w:val="00A54A1F"/>
    <w:rsid w:val="00A558D1"/>
    <w:rsid w:val="00A55C7C"/>
    <w:rsid w:val="00A55C80"/>
    <w:rsid w:val="00A55D23"/>
    <w:rsid w:val="00A560C0"/>
    <w:rsid w:val="00A567C8"/>
    <w:rsid w:val="00A5687E"/>
    <w:rsid w:val="00A56FDA"/>
    <w:rsid w:val="00A5727B"/>
    <w:rsid w:val="00A57F8A"/>
    <w:rsid w:val="00A600CE"/>
    <w:rsid w:val="00A6019F"/>
    <w:rsid w:val="00A60204"/>
    <w:rsid w:val="00A604CC"/>
    <w:rsid w:val="00A60724"/>
    <w:rsid w:val="00A60A79"/>
    <w:rsid w:val="00A60AB3"/>
    <w:rsid w:val="00A60F61"/>
    <w:rsid w:val="00A6125D"/>
    <w:rsid w:val="00A615FA"/>
    <w:rsid w:val="00A61639"/>
    <w:rsid w:val="00A61AB9"/>
    <w:rsid w:val="00A624ED"/>
    <w:rsid w:val="00A62BF8"/>
    <w:rsid w:val="00A64733"/>
    <w:rsid w:val="00A64D67"/>
    <w:rsid w:val="00A6538D"/>
    <w:rsid w:val="00A65819"/>
    <w:rsid w:val="00A65B63"/>
    <w:rsid w:val="00A66402"/>
    <w:rsid w:val="00A664F1"/>
    <w:rsid w:val="00A66855"/>
    <w:rsid w:val="00A66AA0"/>
    <w:rsid w:val="00A66AA5"/>
    <w:rsid w:val="00A66DC6"/>
    <w:rsid w:val="00A674B9"/>
    <w:rsid w:val="00A67614"/>
    <w:rsid w:val="00A67B67"/>
    <w:rsid w:val="00A705AC"/>
    <w:rsid w:val="00A705EA"/>
    <w:rsid w:val="00A7066E"/>
    <w:rsid w:val="00A7069F"/>
    <w:rsid w:val="00A7094F"/>
    <w:rsid w:val="00A70992"/>
    <w:rsid w:val="00A70A9C"/>
    <w:rsid w:val="00A70DBE"/>
    <w:rsid w:val="00A712A9"/>
    <w:rsid w:val="00A713BF"/>
    <w:rsid w:val="00A7142A"/>
    <w:rsid w:val="00A7152F"/>
    <w:rsid w:val="00A71E8A"/>
    <w:rsid w:val="00A72321"/>
    <w:rsid w:val="00A724B8"/>
    <w:rsid w:val="00A725AE"/>
    <w:rsid w:val="00A726AD"/>
    <w:rsid w:val="00A72A6C"/>
    <w:rsid w:val="00A72B20"/>
    <w:rsid w:val="00A730FC"/>
    <w:rsid w:val="00A7316C"/>
    <w:rsid w:val="00A733EA"/>
    <w:rsid w:val="00A73FE9"/>
    <w:rsid w:val="00A74528"/>
    <w:rsid w:val="00A7484E"/>
    <w:rsid w:val="00A749D3"/>
    <w:rsid w:val="00A74A82"/>
    <w:rsid w:val="00A74B1B"/>
    <w:rsid w:val="00A74B81"/>
    <w:rsid w:val="00A74CD1"/>
    <w:rsid w:val="00A74EFD"/>
    <w:rsid w:val="00A7508A"/>
    <w:rsid w:val="00A7594B"/>
    <w:rsid w:val="00A75EC0"/>
    <w:rsid w:val="00A7651B"/>
    <w:rsid w:val="00A765EE"/>
    <w:rsid w:val="00A76AC7"/>
    <w:rsid w:val="00A76D4F"/>
    <w:rsid w:val="00A775BB"/>
    <w:rsid w:val="00A77F0D"/>
    <w:rsid w:val="00A800D9"/>
    <w:rsid w:val="00A8035A"/>
    <w:rsid w:val="00A80F09"/>
    <w:rsid w:val="00A81DBF"/>
    <w:rsid w:val="00A82983"/>
    <w:rsid w:val="00A82EB0"/>
    <w:rsid w:val="00A82F79"/>
    <w:rsid w:val="00A82FFA"/>
    <w:rsid w:val="00A830C7"/>
    <w:rsid w:val="00A83216"/>
    <w:rsid w:val="00A83226"/>
    <w:rsid w:val="00A8338A"/>
    <w:rsid w:val="00A83430"/>
    <w:rsid w:val="00A838F5"/>
    <w:rsid w:val="00A83C10"/>
    <w:rsid w:val="00A83D60"/>
    <w:rsid w:val="00A83D6F"/>
    <w:rsid w:val="00A8423E"/>
    <w:rsid w:val="00A84346"/>
    <w:rsid w:val="00A84A3D"/>
    <w:rsid w:val="00A850F5"/>
    <w:rsid w:val="00A852B1"/>
    <w:rsid w:val="00A855E9"/>
    <w:rsid w:val="00A8607A"/>
    <w:rsid w:val="00A867F1"/>
    <w:rsid w:val="00A86AAA"/>
    <w:rsid w:val="00A87135"/>
    <w:rsid w:val="00A87BC5"/>
    <w:rsid w:val="00A8A1D0"/>
    <w:rsid w:val="00A9019F"/>
    <w:rsid w:val="00A9085C"/>
    <w:rsid w:val="00A90CC9"/>
    <w:rsid w:val="00A90D0D"/>
    <w:rsid w:val="00A90DAC"/>
    <w:rsid w:val="00A90E2C"/>
    <w:rsid w:val="00A90F06"/>
    <w:rsid w:val="00A9122A"/>
    <w:rsid w:val="00A91EC9"/>
    <w:rsid w:val="00A91F41"/>
    <w:rsid w:val="00A92004"/>
    <w:rsid w:val="00A923C6"/>
    <w:rsid w:val="00A92B8D"/>
    <w:rsid w:val="00A92E64"/>
    <w:rsid w:val="00A92F56"/>
    <w:rsid w:val="00A9304E"/>
    <w:rsid w:val="00A935AC"/>
    <w:rsid w:val="00A938F7"/>
    <w:rsid w:val="00A93A56"/>
    <w:rsid w:val="00A93C0E"/>
    <w:rsid w:val="00A93CE4"/>
    <w:rsid w:val="00A93FB6"/>
    <w:rsid w:val="00A946BD"/>
    <w:rsid w:val="00A947E6"/>
    <w:rsid w:val="00A947FF"/>
    <w:rsid w:val="00A94D60"/>
    <w:rsid w:val="00A94D7A"/>
    <w:rsid w:val="00A95013"/>
    <w:rsid w:val="00A9514E"/>
    <w:rsid w:val="00A951DA"/>
    <w:rsid w:val="00A95272"/>
    <w:rsid w:val="00A952B4"/>
    <w:rsid w:val="00A95715"/>
    <w:rsid w:val="00A95CE0"/>
    <w:rsid w:val="00A95D66"/>
    <w:rsid w:val="00A95D8A"/>
    <w:rsid w:val="00A963CA"/>
    <w:rsid w:val="00A970D2"/>
    <w:rsid w:val="00A973D6"/>
    <w:rsid w:val="00A975D7"/>
    <w:rsid w:val="00AA0602"/>
    <w:rsid w:val="00AA0DE6"/>
    <w:rsid w:val="00AA119A"/>
    <w:rsid w:val="00AA142A"/>
    <w:rsid w:val="00AA1676"/>
    <w:rsid w:val="00AA16C2"/>
    <w:rsid w:val="00AA1F9F"/>
    <w:rsid w:val="00AA2B8B"/>
    <w:rsid w:val="00AA2C95"/>
    <w:rsid w:val="00AA2FAB"/>
    <w:rsid w:val="00AA313B"/>
    <w:rsid w:val="00AA3929"/>
    <w:rsid w:val="00AA3B17"/>
    <w:rsid w:val="00AA433F"/>
    <w:rsid w:val="00AA4423"/>
    <w:rsid w:val="00AA47CE"/>
    <w:rsid w:val="00AA5297"/>
    <w:rsid w:val="00AA5428"/>
    <w:rsid w:val="00AA56D8"/>
    <w:rsid w:val="00AA56F7"/>
    <w:rsid w:val="00AA5A88"/>
    <w:rsid w:val="00AA5BA4"/>
    <w:rsid w:val="00AA5EF2"/>
    <w:rsid w:val="00AA60F2"/>
    <w:rsid w:val="00AA622D"/>
    <w:rsid w:val="00AA68DE"/>
    <w:rsid w:val="00AA69C7"/>
    <w:rsid w:val="00AB0010"/>
    <w:rsid w:val="00AB0B49"/>
    <w:rsid w:val="00AB0B77"/>
    <w:rsid w:val="00AB0C49"/>
    <w:rsid w:val="00AB10BC"/>
    <w:rsid w:val="00AB1621"/>
    <w:rsid w:val="00AB1864"/>
    <w:rsid w:val="00AB21C4"/>
    <w:rsid w:val="00AB21D7"/>
    <w:rsid w:val="00AB2384"/>
    <w:rsid w:val="00AB252B"/>
    <w:rsid w:val="00AB2730"/>
    <w:rsid w:val="00AB2777"/>
    <w:rsid w:val="00AB277B"/>
    <w:rsid w:val="00AB2782"/>
    <w:rsid w:val="00AB27A2"/>
    <w:rsid w:val="00AB27EF"/>
    <w:rsid w:val="00AB2B65"/>
    <w:rsid w:val="00AB2D1C"/>
    <w:rsid w:val="00AB3124"/>
    <w:rsid w:val="00AB3151"/>
    <w:rsid w:val="00AB3A49"/>
    <w:rsid w:val="00AB3A64"/>
    <w:rsid w:val="00AB3C74"/>
    <w:rsid w:val="00AB3D82"/>
    <w:rsid w:val="00AB3FC8"/>
    <w:rsid w:val="00AB4633"/>
    <w:rsid w:val="00AB4B36"/>
    <w:rsid w:val="00AB548E"/>
    <w:rsid w:val="00AB5D7A"/>
    <w:rsid w:val="00AB640B"/>
    <w:rsid w:val="00AB6A3D"/>
    <w:rsid w:val="00AB70D2"/>
    <w:rsid w:val="00AB7545"/>
    <w:rsid w:val="00AB781E"/>
    <w:rsid w:val="00AB7B5E"/>
    <w:rsid w:val="00AC059B"/>
    <w:rsid w:val="00AC0CFE"/>
    <w:rsid w:val="00AC13DF"/>
    <w:rsid w:val="00AC1B34"/>
    <w:rsid w:val="00AC2263"/>
    <w:rsid w:val="00AC22BB"/>
    <w:rsid w:val="00AC2A76"/>
    <w:rsid w:val="00AC2EB0"/>
    <w:rsid w:val="00AC3287"/>
    <w:rsid w:val="00AC32E9"/>
    <w:rsid w:val="00AC3845"/>
    <w:rsid w:val="00AC3CE7"/>
    <w:rsid w:val="00AC3CEC"/>
    <w:rsid w:val="00AC42B7"/>
    <w:rsid w:val="00AC4541"/>
    <w:rsid w:val="00AC479E"/>
    <w:rsid w:val="00AC4907"/>
    <w:rsid w:val="00AC59FC"/>
    <w:rsid w:val="00AC5E40"/>
    <w:rsid w:val="00AC5E99"/>
    <w:rsid w:val="00AC646D"/>
    <w:rsid w:val="00AC64C5"/>
    <w:rsid w:val="00AC675E"/>
    <w:rsid w:val="00AC6923"/>
    <w:rsid w:val="00AC6FCA"/>
    <w:rsid w:val="00AC7546"/>
    <w:rsid w:val="00AC7841"/>
    <w:rsid w:val="00AC7D84"/>
    <w:rsid w:val="00AD0143"/>
    <w:rsid w:val="00AD06D1"/>
    <w:rsid w:val="00AD0852"/>
    <w:rsid w:val="00AD08B3"/>
    <w:rsid w:val="00AD0C49"/>
    <w:rsid w:val="00AD0EA0"/>
    <w:rsid w:val="00AD0EC8"/>
    <w:rsid w:val="00AD175B"/>
    <w:rsid w:val="00AD1C0C"/>
    <w:rsid w:val="00AD1D76"/>
    <w:rsid w:val="00AD1F5D"/>
    <w:rsid w:val="00AD1FF0"/>
    <w:rsid w:val="00AD255D"/>
    <w:rsid w:val="00AD2AD1"/>
    <w:rsid w:val="00AD2C76"/>
    <w:rsid w:val="00AD3780"/>
    <w:rsid w:val="00AD3BB8"/>
    <w:rsid w:val="00AD3C33"/>
    <w:rsid w:val="00AD45B1"/>
    <w:rsid w:val="00AD520D"/>
    <w:rsid w:val="00AD52C1"/>
    <w:rsid w:val="00AD54F4"/>
    <w:rsid w:val="00AD6449"/>
    <w:rsid w:val="00AD6CA7"/>
    <w:rsid w:val="00AD732C"/>
    <w:rsid w:val="00AD73A6"/>
    <w:rsid w:val="00AD73AB"/>
    <w:rsid w:val="00AD73C0"/>
    <w:rsid w:val="00AD7423"/>
    <w:rsid w:val="00AD74EA"/>
    <w:rsid w:val="00AD7DC0"/>
    <w:rsid w:val="00AE0929"/>
    <w:rsid w:val="00AE09E0"/>
    <w:rsid w:val="00AE09FF"/>
    <w:rsid w:val="00AE1071"/>
    <w:rsid w:val="00AE1F86"/>
    <w:rsid w:val="00AE2C37"/>
    <w:rsid w:val="00AE340C"/>
    <w:rsid w:val="00AE38B3"/>
    <w:rsid w:val="00AE3F0C"/>
    <w:rsid w:val="00AE3F39"/>
    <w:rsid w:val="00AE3FC6"/>
    <w:rsid w:val="00AE4807"/>
    <w:rsid w:val="00AE4B2E"/>
    <w:rsid w:val="00AE50B4"/>
    <w:rsid w:val="00AE5C57"/>
    <w:rsid w:val="00AE5FA1"/>
    <w:rsid w:val="00AE614A"/>
    <w:rsid w:val="00AE62B7"/>
    <w:rsid w:val="00AE63BF"/>
    <w:rsid w:val="00AE65FC"/>
    <w:rsid w:val="00AE699E"/>
    <w:rsid w:val="00AE6D2F"/>
    <w:rsid w:val="00AE7841"/>
    <w:rsid w:val="00AE7FB0"/>
    <w:rsid w:val="00AF0B07"/>
    <w:rsid w:val="00AF0E45"/>
    <w:rsid w:val="00AF0E87"/>
    <w:rsid w:val="00AF1024"/>
    <w:rsid w:val="00AF1061"/>
    <w:rsid w:val="00AF14A0"/>
    <w:rsid w:val="00AF163A"/>
    <w:rsid w:val="00AF1888"/>
    <w:rsid w:val="00AF1B45"/>
    <w:rsid w:val="00AF2139"/>
    <w:rsid w:val="00AF25EE"/>
    <w:rsid w:val="00AF29FE"/>
    <w:rsid w:val="00AF3005"/>
    <w:rsid w:val="00AF33C6"/>
    <w:rsid w:val="00AF36AC"/>
    <w:rsid w:val="00AF4675"/>
    <w:rsid w:val="00AF4E72"/>
    <w:rsid w:val="00AF4F43"/>
    <w:rsid w:val="00AF517D"/>
    <w:rsid w:val="00AF55D6"/>
    <w:rsid w:val="00AF5CE3"/>
    <w:rsid w:val="00AF5CFC"/>
    <w:rsid w:val="00AF6116"/>
    <w:rsid w:val="00AF6131"/>
    <w:rsid w:val="00AF61B2"/>
    <w:rsid w:val="00AF62D7"/>
    <w:rsid w:val="00AF67B1"/>
    <w:rsid w:val="00AF6BB7"/>
    <w:rsid w:val="00AF6F28"/>
    <w:rsid w:val="00AF7D86"/>
    <w:rsid w:val="00AF7F63"/>
    <w:rsid w:val="00AF7FBE"/>
    <w:rsid w:val="00B001C5"/>
    <w:rsid w:val="00B00869"/>
    <w:rsid w:val="00B00B3F"/>
    <w:rsid w:val="00B00C09"/>
    <w:rsid w:val="00B00D3C"/>
    <w:rsid w:val="00B01066"/>
    <w:rsid w:val="00B011F8"/>
    <w:rsid w:val="00B01739"/>
    <w:rsid w:val="00B01B57"/>
    <w:rsid w:val="00B01C6D"/>
    <w:rsid w:val="00B01D42"/>
    <w:rsid w:val="00B01E38"/>
    <w:rsid w:val="00B01EDD"/>
    <w:rsid w:val="00B020BE"/>
    <w:rsid w:val="00B0243B"/>
    <w:rsid w:val="00B0254E"/>
    <w:rsid w:val="00B0295D"/>
    <w:rsid w:val="00B02A64"/>
    <w:rsid w:val="00B02EAD"/>
    <w:rsid w:val="00B03061"/>
    <w:rsid w:val="00B03167"/>
    <w:rsid w:val="00B03452"/>
    <w:rsid w:val="00B03674"/>
    <w:rsid w:val="00B03B1E"/>
    <w:rsid w:val="00B03BF1"/>
    <w:rsid w:val="00B043F5"/>
    <w:rsid w:val="00B049FB"/>
    <w:rsid w:val="00B04A69"/>
    <w:rsid w:val="00B04FD6"/>
    <w:rsid w:val="00B053B3"/>
    <w:rsid w:val="00B053E1"/>
    <w:rsid w:val="00B05B1E"/>
    <w:rsid w:val="00B071DA"/>
    <w:rsid w:val="00B076B1"/>
    <w:rsid w:val="00B07B02"/>
    <w:rsid w:val="00B07DFB"/>
    <w:rsid w:val="00B07FDA"/>
    <w:rsid w:val="00B10DEB"/>
    <w:rsid w:val="00B114EE"/>
    <w:rsid w:val="00B11867"/>
    <w:rsid w:val="00B11987"/>
    <w:rsid w:val="00B11B06"/>
    <w:rsid w:val="00B11EEE"/>
    <w:rsid w:val="00B11FD6"/>
    <w:rsid w:val="00B120CC"/>
    <w:rsid w:val="00B12472"/>
    <w:rsid w:val="00B12920"/>
    <w:rsid w:val="00B135E7"/>
    <w:rsid w:val="00B13B32"/>
    <w:rsid w:val="00B14218"/>
    <w:rsid w:val="00B142CF"/>
    <w:rsid w:val="00B148B1"/>
    <w:rsid w:val="00B14ACC"/>
    <w:rsid w:val="00B14B55"/>
    <w:rsid w:val="00B14C31"/>
    <w:rsid w:val="00B14ED6"/>
    <w:rsid w:val="00B150AA"/>
    <w:rsid w:val="00B1512E"/>
    <w:rsid w:val="00B15553"/>
    <w:rsid w:val="00B15612"/>
    <w:rsid w:val="00B156B3"/>
    <w:rsid w:val="00B15CC1"/>
    <w:rsid w:val="00B15F76"/>
    <w:rsid w:val="00B16129"/>
    <w:rsid w:val="00B1645F"/>
    <w:rsid w:val="00B16CAB"/>
    <w:rsid w:val="00B1757D"/>
    <w:rsid w:val="00B17B6E"/>
    <w:rsid w:val="00B17B8B"/>
    <w:rsid w:val="00B17D01"/>
    <w:rsid w:val="00B2027A"/>
    <w:rsid w:val="00B20861"/>
    <w:rsid w:val="00B20E1F"/>
    <w:rsid w:val="00B21270"/>
    <w:rsid w:val="00B2159E"/>
    <w:rsid w:val="00B21616"/>
    <w:rsid w:val="00B21C86"/>
    <w:rsid w:val="00B22443"/>
    <w:rsid w:val="00B224FE"/>
    <w:rsid w:val="00B2251B"/>
    <w:rsid w:val="00B226D0"/>
    <w:rsid w:val="00B22B18"/>
    <w:rsid w:val="00B22C00"/>
    <w:rsid w:val="00B236A6"/>
    <w:rsid w:val="00B237E6"/>
    <w:rsid w:val="00B23BF1"/>
    <w:rsid w:val="00B24286"/>
    <w:rsid w:val="00B2475D"/>
    <w:rsid w:val="00B24A40"/>
    <w:rsid w:val="00B24AA5"/>
    <w:rsid w:val="00B24AF4"/>
    <w:rsid w:val="00B24CB8"/>
    <w:rsid w:val="00B24E11"/>
    <w:rsid w:val="00B25472"/>
    <w:rsid w:val="00B25993"/>
    <w:rsid w:val="00B25D74"/>
    <w:rsid w:val="00B262B8"/>
    <w:rsid w:val="00B263DF"/>
    <w:rsid w:val="00B2640A"/>
    <w:rsid w:val="00B26BE1"/>
    <w:rsid w:val="00B26BE4"/>
    <w:rsid w:val="00B26CD3"/>
    <w:rsid w:val="00B26E38"/>
    <w:rsid w:val="00B26E98"/>
    <w:rsid w:val="00B274FF"/>
    <w:rsid w:val="00B2771A"/>
    <w:rsid w:val="00B27A62"/>
    <w:rsid w:val="00B27EF3"/>
    <w:rsid w:val="00B3044B"/>
    <w:rsid w:val="00B3050B"/>
    <w:rsid w:val="00B305FB"/>
    <w:rsid w:val="00B305FC"/>
    <w:rsid w:val="00B30622"/>
    <w:rsid w:val="00B3063B"/>
    <w:rsid w:val="00B3077D"/>
    <w:rsid w:val="00B3136B"/>
    <w:rsid w:val="00B3159C"/>
    <w:rsid w:val="00B31FE4"/>
    <w:rsid w:val="00B31FEA"/>
    <w:rsid w:val="00B32024"/>
    <w:rsid w:val="00B325BC"/>
    <w:rsid w:val="00B32E26"/>
    <w:rsid w:val="00B33370"/>
    <w:rsid w:val="00B333B8"/>
    <w:rsid w:val="00B33599"/>
    <w:rsid w:val="00B337D0"/>
    <w:rsid w:val="00B33A0F"/>
    <w:rsid w:val="00B33C7D"/>
    <w:rsid w:val="00B340DD"/>
    <w:rsid w:val="00B346E7"/>
    <w:rsid w:val="00B346EC"/>
    <w:rsid w:val="00B34F24"/>
    <w:rsid w:val="00B352E7"/>
    <w:rsid w:val="00B3540A"/>
    <w:rsid w:val="00B356ED"/>
    <w:rsid w:val="00B3571A"/>
    <w:rsid w:val="00B358D7"/>
    <w:rsid w:val="00B35AD4"/>
    <w:rsid w:val="00B36004"/>
    <w:rsid w:val="00B362C8"/>
    <w:rsid w:val="00B365C6"/>
    <w:rsid w:val="00B36B67"/>
    <w:rsid w:val="00B36CE1"/>
    <w:rsid w:val="00B373E8"/>
    <w:rsid w:val="00B37496"/>
    <w:rsid w:val="00B37EDA"/>
    <w:rsid w:val="00B401F5"/>
    <w:rsid w:val="00B40317"/>
    <w:rsid w:val="00B4038C"/>
    <w:rsid w:val="00B403DF"/>
    <w:rsid w:val="00B404AD"/>
    <w:rsid w:val="00B404BE"/>
    <w:rsid w:val="00B408AB"/>
    <w:rsid w:val="00B40B21"/>
    <w:rsid w:val="00B40BD0"/>
    <w:rsid w:val="00B40CDC"/>
    <w:rsid w:val="00B40DF3"/>
    <w:rsid w:val="00B4125C"/>
    <w:rsid w:val="00B412F7"/>
    <w:rsid w:val="00B41A70"/>
    <w:rsid w:val="00B41D71"/>
    <w:rsid w:val="00B42D7D"/>
    <w:rsid w:val="00B42DBC"/>
    <w:rsid w:val="00B431B6"/>
    <w:rsid w:val="00B4322D"/>
    <w:rsid w:val="00B437A8"/>
    <w:rsid w:val="00B44011"/>
    <w:rsid w:val="00B442E6"/>
    <w:rsid w:val="00B4449C"/>
    <w:rsid w:val="00B44AE8"/>
    <w:rsid w:val="00B44E21"/>
    <w:rsid w:val="00B44FC3"/>
    <w:rsid w:val="00B452D6"/>
    <w:rsid w:val="00B454A0"/>
    <w:rsid w:val="00B45D3D"/>
    <w:rsid w:val="00B46105"/>
    <w:rsid w:val="00B46CC6"/>
    <w:rsid w:val="00B46E71"/>
    <w:rsid w:val="00B478FB"/>
    <w:rsid w:val="00B47B41"/>
    <w:rsid w:val="00B47DDF"/>
    <w:rsid w:val="00B47E09"/>
    <w:rsid w:val="00B47FA5"/>
    <w:rsid w:val="00B50086"/>
    <w:rsid w:val="00B50173"/>
    <w:rsid w:val="00B508F5"/>
    <w:rsid w:val="00B50AC3"/>
    <w:rsid w:val="00B50E1F"/>
    <w:rsid w:val="00B512B9"/>
    <w:rsid w:val="00B5138B"/>
    <w:rsid w:val="00B514EB"/>
    <w:rsid w:val="00B518BA"/>
    <w:rsid w:val="00B520B9"/>
    <w:rsid w:val="00B5253A"/>
    <w:rsid w:val="00B528E4"/>
    <w:rsid w:val="00B52A09"/>
    <w:rsid w:val="00B52AC8"/>
    <w:rsid w:val="00B52B6C"/>
    <w:rsid w:val="00B531B5"/>
    <w:rsid w:val="00B5332B"/>
    <w:rsid w:val="00B5357B"/>
    <w:rsid w:val="00B53B7C"/>
    <w:rsid w:val="00B54074"/>
    <w:rsid w:val="00B54076"/>
    <w:rsid w:val="00B540AD"/>
    <w:rsid w:val="00B5491D"/>
    <w:rsid w:val="00B5503E"/>
    <w:rsid w:val="00B5531A"/>
    <w:rsid w:val="00B55D75"/>
    <w:rsid w:val="00B562D9"/>
    <w:rsid w:val="00B562F8"/>
    <w:rsid w:val="00B5637A"/>
    <w:rsid w:val="00B56CBF"/>
    <w:rsid w:val="00B5739E"/>
    <w:rsid w:val="00B57729"/>
    <w:rsid w:val="00B577E3"/>
    <w:rsid w:val="00B5789D"/>
    <w:rsid w:val="00B60805"/>
    <w:rsid w:val="00B60BE7"/>
    <w:rsid w:val="00B60DBA"/>
    <w:rsid w:val="00B60E23"/>
    <w:rsid w:val="00B610C3"/>
    <w:rsid w:val="00B61391"/>
    <w:rsid w:val="00B613FE"/>
    <w:rsid w:val="00B6163D"/>
    <w:rsid w:val="00B618A5"/>
    <w:rsid w:val="00B61B64"/>
    <w:rsid w:val="00B61BD8"/>
    <w:rsid w:val="00B62175"/>
    <w:rsid w:val="00B625DE"/>
    <w:rsid w:val="00B62791"/>
    <w:rsid w:val="00B629EE"/>
    <w:rsid w:val="00B62D05"/>
    <w:rsid w:val="00B62E06"/>
    <w:rsid w:val="00B6374A"/>
    <w:rsid w:val="00B63913"/>
    <w:rsid w:val="00B6410F"/>
    <w:rsid w:val="00B64986"/>
    <w:rsid w:val="00B64E8E"/>
    <w:rsid w:val="00B64EE0"/>
    <w:rsid w:val="00B6599C"/>
    <w:rsid w:val="00B659C8"/>
    <w:rsid w:val="00B65FDB"/>
    <w:rsid w:val="00B6613E"/>
    <w:rsid w:val="00B66848"/>
    <w:rsid w:val="00B66CF1"/>
    <w:rsid w:val="00B6736E"/>
    <w:rsid w:val="00B675B3"/>
    <w:rsid w:val="00B67637"/>
    <w:rsid w:val="00B67675"/>
    <w:rsid w:val="00B677EE"/>
    <w:rsid w:val="00B67888"/>
    <w:rsid w:val="00B703F8"/>
    <w:rsid w:val="00B70FA6"/>
    <w:rsid w:val="00B7187E"/>
    <w:rsid w:val="00B71B6C"/>
    <w:rsid w:val="00B72985"/>
    <w:rsid w:val="00B72ACA"/>
    <w:rsid w:val="00B72ACC"/>
    <w:rsid w:val="00B72D1E"/>
    <w:rsid w:val="00B73246"/>
    <w:rsid w:val="00B73725"/>
    <w:rsid w:val="00B739DE"/>
    <w:rsid w:val="00B73C13"/>
    <w:rsid w:val="00B73FDE"/>
    <w:rsid w:val="00B7405F"/>
    <w:rsid w:val="00B74157"/>
    <w:rsid w:val="00B7416E"/>
    <w:rsid w:val="00B74502"/>
    <w:rsid w:val="00B7476D"/>
    <w:rsid w:val="00B74807"/>
    <w:rsid w:val="00B7492F"/>
    <w:rsid w:val="00B74E0B"/>
    <w:rsid w:val="00B74FC9"/>
    <w:rsid w:val="00B75338"/>
    <w:rsid w:val="00B7593B"/>
    <w:rsid w:val="00B75A8E"/>
    <w:rsid w:val="00B75B79"/>
    <w:rsid w:val="00B75C71"/>
    <w:rsid w:val="00B7621A"/>
    <w:rsid w:val="00B7630D"/>
    <w:rsid w:val="00B76594"/>
    <w:rsid w:val="00B76B34"/>
    <w:rsid w:val="00B76FC0"/>
    <w:rsid w:val="00B77743"/>
    <w:rsid w:val="00B77824"/>
    <w:rsid w:val="00B779FD"/>
    <w:rsid w:val="00B77A6F"/>
    <w:rsid w:val="00B77CFC"/>
    <w:rsid w:val="00B77D0C"/>
    <w:rsid w:val="00B77EA6"/>
    <w:rsid w:val="00B80722"/>
    <w:rsid w:val="00B807E3"/>
    <w:rsid w:val="00B80BDE"/>
    <w:rsid w:val="00B81D72"/>
    <w:rsid w:val="00B8207B"/>
    <w:rsid w:val="00B8222B"/>
    <w:rsid w:val="00B82C79"/>
    <w:rsid w:val="00B82CC3"/>
    <w:rsid w:val="00B8341E"/>
    <w:rsid w:val="00B83567"/>
    <w:rsid w:val="00B8382D"/>
    <w:rsid w:val="00B8415A"/>
    <w:rsid w:val="00B84903"/>
    <w:rsid w:val="00B84C5B"/>
    <w:rsid w:val="00B850F7"/>
    <w:rsid w:val="00B85D54"/>
    <w:rsid w:val="00B85D7B"/>
    <w:rsid w:val="00B85FDA"/>
    <w:rsid w:val="00B86155"/>
    <w:rsid w:val="00B8627B"/>
    <w:rsid w:val="00B8665E"/>
    <w:rsid w:val="00B87184"/>
    <w:rsid w:val="00B87752"/>
    <w:rsid w:val="00B87934"/>
    <w:rsid w:val="00B87AC8"/>
    <w:rsid w:val="00B87C2F"/>
    <w:rsid w:val="00B87D95"/>
    <w:rsid w:val="00B904A0"/>
    <w:rsid w:val="00B9144A"/>
    <w:rsid w:val="00B917D3"/>
    <w:rsid w:val="00B91C1A"/>
    <w:rsid w:val="00B91DC6"/>
    <w:rsid w:val="00B9275F"/>
    <w:rsid w:val="00B9284D"/>
    <w:rsid w:val="00B92888"/>
    <w:rsid w:val="00B9290C"/>
    <w:rsid w:val="00B93234"/>
    <w:rsid w:val="00B9323C"/>
    <w:rsid w:val="00B9371E"/>
    <w:rsid w:val="00B938B6"/>
    <w:rsid w:val="00B93E17"/>
    <w:rsid w:val="00B9428E"/>
    <w:rsid w:val="00B9444F"/>
    <w:rsid w:val="00B9463A"/>
    <w:rsid w:val="00B95387"/>
    <w:rsid w:val="00B95665"/>
    <w:rsid w:val="00B9578A"/>
    <w:rsid w:val="00B958A1"/>
    <w:rsid w:val="00B95FE2"/>
    <w:rsid w:val="00B9692A"/>
    <w:rsid w:val="00B97071"/>
    <w:rsid w:val="00B97265"/>
    <w:rsid w:val="00B9741F"/>
    <w:rsid w:val="00B97749"/>
    <w:rsid w:val="00B97AEF"/>
    <w:rsid w:val="00BA041D"/>
    <w:rsid w:val="00BA0AD7"/>
    <w:rsid w:val="00BA0BEC"/>
    <w:rsid w:val="00BA1CD2"/>
    <w:rsid w:val="00BA1E49"/>
    <w:rsid w:val="00BA2BBB"/>
    <w:rsid w:val="00BA2D5D"/>
    <w:rsid w:val="00BA2DC0"/>
    <w:rsid w:val="00BA301B"/>
    <w:rsid w:val="00BA3058"/>
    <w:rsid w:val="00BA31C8"/>
    <w:rsid w:val="00BA31DB"/>
    <w:rsid w:val="00BA359C"/>
    <w:rsid w:val="00BA3836"/>
    <w:rsid w:val="00BA3A22"/>
    <w:rsid w:val="00BA3D32"/>
    <w:rsid w:val="00BA401A"/>
    <w:rsid w:val="00BA4261"/>
    <w:rsid w:val="00BA4B63"/>
    <w:rsid w:val="00BA5121"/>
    <w:rsid w:val="00BA518E"/>
    <w:rsid w:val="00BA5A28"/>
    <w:rsid w:val="00BA5C60"/>
    <w:rsid w:val="00BA6E3E"/>
    <w:rsid w:val="00BA7393"/>
    <w:rsid w:val="00BA7678"/>
    <w:rsid w:val="00BA799A"/>
    <w:rsid w:val="00BA7FBF"/>
    <w:rsid w:val="00BB014F"/>
    <w:rsid w:val="00BB10B6"/>
    <w:rsid w:val="00BB19FF"/>
    <w:rsid w:val="00BB23A6"/>
    <w:rsid w:val="00BB2648"/>
    <w:rsid w:val="00BB26C6"/>
    <w:rsid w:val="00BB2C3B"/>
    <w:rsid w:val="00BB2DA1"/>
    <w:rsid w:val="00BB3449"/>
    <w:rsid w:val="00BB349C"/>
    <w:rsid w:val="00BB394B"/>
    <w:rsid w:val="00BB3C3F"/>
    <w:rsid w:val="00BB3CC7"/>
    <w:rsid w:val="00BB3DE1"/>
    <w:rsid w:val="00BB431A"/>
    <w:rsid w:val="00BB45C8"/>
    <w:rsid w:val="00BB463D"/>
    <w:rsid w:val="00BB510A"/>
    <w:rsid w:val="00BB516F"/>
    <w:rsid w:val="00BB526D"/>
    <w:rsid w:val="00BB53AF"/>
    <w:rsid w:val="00BB58F9"/>
    <w:rsid w:val="00BB59D4"/>
    <w:rsid w:val="00BB5D17"/>
    <w:rsid w:val="00BB625E"/>
    <w:rsid w:val="00BB6270"/>
    <w:rsid w:val="00BB641D"/>
    <w:rsid w:val="00BB65D4"/>
    <w:rsid w:val="00BB6D43"/>
    <w:rsid w:val="00BB6E05"/>
    <w:rsid w:val="00BB70E8"/>
    <w:rsid w:val="00BB7265"/>
    <w:rsid w:val="00BB7304"/>
    <w:rsid w:val="00BB7EE3"/>
    <w:rsid w:val="00BB7F77"/>
    <w:rsid w:val="00BC02BE"/>
    <w:rsid w:val="00BC0663"/>
    <w:rsid w:val="00BC11C2"/>
    <w:rsid w:val="00BC2177"/>
    <w:rsid w:val="00BC23A5"/>
    <w:rsid w:val="00BC24C2"/>
    <w:rsid w:val="00BC2639"/>
    <w:rsid w:val="00BC327A"/>
    <w:rsid w:val="00BC357E"/>
    <w:rsid w:val="00BC35AB"/>
    <w:rsid w:val="00BC4E82"/>
    <w:rsid w:val="00BC524F"/>
    <w:rsid w:val="00BC53A1"/>
    <w:rsid w:val="00BC5579"/>
    <w:rsid w:val="00BC5724"/>
    <w:rsid w:val="00BC5AD3"/>
    <w:rsid w:val="00BC5D38"/>
    <w:rsid w:val="00BC5F47"/>
    <w:rsid w:val="00BC5FD1"/>
    <w:rsid w:val="00BC61CE"/>
    <w:rsid w:val="00BC670B"/>
    <w:rsid w:val="00BC7001"/>
    <w:rsid w:val="00BC7120"/>
    <w:rsid w:val="00BC73EF"/>
    <w:rsid w:val="00BC7A1B"/>
    <w:rsid w:val="00BC7C0F"/>
    <w:rsid w:val="00BC7E02"/>
    <w:rsid w:val="00BD0565"/>
    <w:rsid w:val="00BD0CFE"/>
    <w:rsid w:val="00BD0D63"/>
    <w:rsid w:val="00BD118E"/>
    <w:rsid w:val="00BD137C"/>
    <w:rsid w:val="00BD1E49"/>
    <w:rsid w:val="00BD2145"/>
    <w:rsid w:val="00BD2913"/>
    <w:rsid w:val="00BD2AF5"/>
    <w:rsid w:val="00BD2CCC"/>
    <w:rsid w:val="00BD3029"/>
    <w:rsid w:val="00BD326A"/>
    <w:rsid w:val="00BD32EA"/>
    <w:rsid w:val="00BD3853"/>
    <w:rsid w:val="00BD39B6"/>
    <w:rsid w:val="00BD3F50"/>
    <w:rsid w:val="00BD40BF"/>
    <w:rsid w:val="00BD448A"/>
    <w:rsid w:val="00BD4A8B"/>
    <w:rsid w:val="00BD4ED6"/>
    <w:rsid w:val="00BD60C9"/>
    <w:rsid w:val="00BD650B"/>
    <w:rsid w:val="00BD6532"/>
    <w:rsid w:val="00BD6C24"/>
    <w:rsid w:val="00BD6EA4"/>
    <w:rsid w:val="00BD6F08"/>
    <w:rsid w:val="00BD7377"/>
    <w:rsid w:val="00BD74C7"/>
    <w:rsid w:val="00BD7CCF"/>
    <w:rsid w:val="00BD7DF5"/>
    <w:rsid w:val="00BE029D"/>
    <w:rsid w:val="00BE0675"/>
    <w:rsid w:val="00BE06AA"/>
    <w:rsid w:val="00BE11A4"/>
    <w:rsid w:val="00BE1515"/>
    <w:rsid w:val="00BE1970"/>
    <w:rsid w:val="00BE1AC0"/>
    <w:rsid w:val="00BE2033"/>
    <w:rsid w:val="00BE2342"/>
    <w:rsid w:val="00BE2448"/>
    <w:rsid w:val="00BE26ED"/>
    <w:rsid w:val="00BE33B9"/>
    <w:rsid w:val="00BE3536"/>
    <w:rsid w:val="00BE37C8"/>
    <w:rsid w:val="00BE3BFB"/>
    <w:rsid w:val="00BE40C1"/>
    <w:rsid w:val="00BE463A"/>
    <w:rsid w:val="00BE47EA"/>
    <w:rsid w:val="00BE512D"/>
    <w:rsid w:val="00BE5246"/>
    <w:rsid w:val="00BE55C4"/>
    <w:rsid w:val="00BE6086"/>
    <w:rsid w:val="00BE61CD"/>
    <w:rsid w:val="00BE6C60"/>
    <w:rsid w:val="00BE75D3"/>
    <w:rsid w:val="00BE7D06"/>
    <w:rsid w:val="00BE7FFE"/>
    <w:rsid w:val="00BF00BB"/>
    <w:rsid w:val="00BF01FF"/>
    <w:rsid w:val="00BF022C"/>
    <w:rsid w:val="00BF05A0"/>
    <w:rsid w:val="00BF08A2"/>
    <w:rsid w:val="00BF0945"/>
    <w:rsid w:val="00BF0C16"/>
    <w:rsid w:val="00BF0ED5"/>
    <w:rsid w:val="00BF10B7"/>
    <w:rsid w:val="00BF13D4"/>
    <w:rsid w:val="00BF1939"/>
    <w:rsid w:val="00BF20AA"/>
    <w:rsid w:val="00BF20C6"/>
    <w:rsid w:val="00BF258B"/>
    <w:rsid w:val="00BF2C8B"/>
    <w:rsid w:val="00BF3298"/>
    <w:rsid w:val="00BF3C72"/>
    <w:rsid w:val="00BF4074"/>
    <w:rsid w:val="00BF43BF"/>
    <w:rsid w:val="00BF4C1D"/>
    <w:rsid w:val="00BF504B"/>
    <w:rsid w:val="00BF5187"/>
    <w:rsid w:val="00BF5242"/>
    <w:rsid w:val="00BF577D"/>
    <w:rsid w:val="00BF5855"/>
    <w:rsid w:val="00BF5AA7"/>
    <w:rsid w:val="00BF5C3E"/>
    <w:rsid w:val="00BF5D94"/>
    <w:rsid w:val="00BF5FB3"/>
    <w:rsid w:val="00BF61A1"/>
    <w:rsid w:val="00BF6294"/>
    <w:rsid w:val="00BF645E"/>
    <w:rsid w:val="00BF67B9"/>
    <w:rsid w:val="00BF6A5E"/>
    <w:rsid w:val="00BF6A7E"/>
    <w:rsid w:val="00BF6F70"/>
    <w:rsid w:val="00BF70B0"/>
    <w:rsid w:val="00BF757E"/>
    <w:rsid w:val="00BF76A7"/>
    <w:rsid w:val="00C001CB"/>
    <w:rsid w:val="00C00254"/>
    <w:rsid w:val="00C003BD"/>
    <w:rsid w:val="00C004D7"/>
    <w:rsid w:val="00C0061A"/>
    <w:rsid w:val="00C00867"/>
    <w:rsid w:val="00C00DC2"/>
    <w:rsid w:val="00C0133E"/>
    <w:rsid w:val="00C01D37"/>
    <w:rsid w:val="00C01D9F"/>
    <w:rsid w:val="00C01E13"/>
    <w:rsid w:val="00C0283E"/>
    <w:rsid w:val="00C029F6"/>
    <w:rsid w:val="00C02CE4"/>
    <w:rsid w:val="00C03B99"/>
    <w:rsid w:val="00C03BB0"/>
    <w:rsid w:val="00C04187"/>
    <w:rsid w:val="00C0447F"/>
    <w:rsid w:val="00C04BBE"/>
    <w:rsid w:val="00C04C1F"/>
    <w:rsid w:val="00C04CA9"/>
    <w:rsid w:val="00C05D1E"/>
    <w:rsid w:val="00C05E22"/>
    <w:rsid w:val="00C05F2F"/>
    <w:rsid w:val="00C05FD8"/>
    <w:rsid w:val="00C06298"/>
    <w:rsid w:val="00C06BA1"/>
    <w:rsid w:val="00C074B4"/>
    <w:rsid w:val="00C078ED"/>
    <w:rsid w:val="00C07B8A"/>
    <w:rsid w:val="00C07C39"/>
    <w:rsid w:val="00C07CB7"/>
    <w:rsid w:val="00C07DD5"/>
    <w:rsid w:val="00C07E3B"/>
    <w:rsid w:val="00C10066"/>
    <w:rsid w:val="00C100B6"/>
    <w:rsid w:val="00C10552"/>
    <w:rsid w:val="00C10977"/>
    <w:rsid w:val="00C10B11"/>
    <w:rsid w:val="00C11265"/>
    <w:rsid w:val="00C11664"/>
    <w:rsid w:val="00C116C9"/>
    <w:rsid w:val="00C11700"/>
    <w:rsid w:val="00C11868"/>
    <w:rsid w:val="00C11A0F"/>
    <w:rsid w:val="00C11F30"/>
    <w:rsid w:val="00C12188"/>
    <w:rsid w:val="00C1242F"/>
    <w:rsid w:val="00C12669"/>
    <w:rsid w:val="00C12ED1"/>
    <w:rsid w:val="00C130B3"/>
    <w:rsid w:val="00C13169"/>
    <w:rsid w:val="00C1333A"/>
    <w:rsid w:val="00C138B1"/>
    <w:rsid w:val="00C13901"/>
    <w:rsid w:val="00C13963"/>
    <w:rsid w:val="00C14525"/>
    <w:rsid w:val="00C147AE"/>
    <w:rsid w:val="00C1512E"/>
    <w:rsid w:val="00C15458"/>
    <w:rsid w:val="00C15617"/>
    <w:rsid w:val="00C1589F"/>
    <w:rsid w:val="00C15974"/>
    <w:rsid w:val="00C15D86"/>
    <w:rsid w:val="00C160C5"/>
    <w:rsid w:val="00C16297"/>
    <w:rsid w:val="00C166FB"/>
    <w:rsid w:val="00C16A8A"/>
    <w:rsid w:val="00C16E23"/>
    <w:rsid w:val="00C17412"/>
    <w:rsid w:val="00C17972"/>
    <w:rsid w:val="00C17A7D"/>
    <w:rsid w:val="00C17D65"/>
    <w:rsid w:val="00C17F68"/>
    <w:rsid w:val="00C2011B"/>
    <w:rsid w:val="00C205AC"/>
    <w:rsid w:val="00C205FE"/>
    <w:rsid w:val="00C20875"/>
    <w:rsid w:val="00C20DDC"/>
    <w:rsid w:val="00C20F7B"/>
    <w:rsid w:val="00C210BD"/>
    <w:rsid w:val="00C21225"/>
    <w:rsid w:val="00C2200E"/>
    <w:rsid w:val="00C224C1"/>
    <w:rsid w:val="00C22675"/>
    <w:rsid w:val="00C22B32"/>
    <w:rsid w:val="00C2306D"/>
    <w:rsid w:val="00C232A7"/>
    <w:rsid w:val="00C237BF"/>
    <w:rsid w:val="00C2399C"/>
    <w:rsid w:val="00C23BF6"/>
    <w:rsid w:val="00C23C51"/>
    <w:rsid w:val="00C23E70"/>
    <w:rsid w:val="00C2407A"/>
    <w:rsid w:val="00C240FC"/>
    <w:rsid w:val="00C24612"/>
    <w:rsid w:val="00C24B31"/>
    <w:rsid w:val="00C25493"/>
    <w:rsid w:val="00C254CB"/>
    <w:rsid w:val="00C255C1"/>
    <w:rsid w:val="00C2608C"/>
    <w:rsid w:val="00C262E6"/>
    <w:rsid w:val="00C265C1"/>
    <w:rsid w:val="00C26B4E"/>
    <w:rsid w:val="00C26BBB"/>
    <w:rsid w:val="00C26C99"/>
    <w:rsid w:val="00C2716F"/>
    <w:rsid w:val="00C2749B"/>
    <w:rsid w:val="00C277BD"/>
    <w:rsid w:val="00C2798B"/>
    <w:rsid w:val="00C279B1"/>
    <w:rsid w:val="00C27A7C"/>
    <w:rsid w:val="00C27BA5"/>
    <w:rsid w:val="00C27F67"/>
    <w:rsid w:val="00C3038A"/>
    <w:rsid w:val="00C3080B"/>
    <w:rsid w:val="00C31E38"/>
    <w:rsid w:val="00C31FB2"/>
    <w:rsid w:val="00C320B5"/>
    <w:rsid w:val="00C32C64"/>
    <w:rsid w:val="00C331BA"/>
    <w:rsid w:val="00C334BC"/>
    <w:rsid w:val="00C33557"/>
    <w:rsid w:val="00C3397F"/>
    <w:rsid w:val="00C33FA2"/>
    <w:rsid w:val="00C33FFE"/>
    <w:rsid w:val="00C340A6"/>
    <w:rsid w:val="00C34479"/>
    <w:rsid w:val="00C34B66"/>
    <w:rsid w:val="00C3535A"/>
    <w:rsid w:val="00C35559"/>
    <w:rsid w:val="00C3615D"/>
    <w:rsid w:val="00C361C8"/>
    <w:rsid w:val="00C366A5"/>
    <w:rsid w:val="00C3694A"/>
    <w:rsid w:val="00C36B6C"/>
    <w:rsid w:val="00C36E50"/>
    <w:rsid w:val="00C3759E"/>
    <w:rsid w:val="00C375A7"/>
    <w:rsid w:val="00C40188"/>
    <w:rsid w:val="00C4022C"/>
    <w:rsid w:val="00C404C7"/>
    <w:rsid w:val="00C407B2"/>
    <w:rsid w:val="00C409F1"/>
    <w:rsid w:val="00C40B79"/>
    <w:rsid w:val="00C40DE2"/>
    <w:rsid w:val="00C4188B"/>
    <w:rsid w:val="00C419D0"/>
    <w:rsid w:val="00C41B4D"/>
    <w:rsid w:val="00C41C5A"/>
    <w:rsid w:val="00C41E72"/>
    <w:rsid w:val="00C424CE"/>
    <w:rsid w:val="00C426C5"/>
    <w:rsid w:val="00C428CF"/>
    <w:rsid w:val="00C42B06"/>
    <w:rsid w:val="00C42DA7"/>
    <w:rsid w:val="00C42EF0"/>
    <w:rsid w:val="00C42F03"/>
    <w:rsid w:val="00C4304F"/>
    <w:rsid w:val="00C432B2"/>
    <w:rsid w:val="00C439FE"/>
    <w:rsid w:val="00C43A83"/>
    <w:rsid w:val="00C43E05"/>
    <w:rsid w:val="00C44A21"/>
    <w:rsid w:val="00C451C9"/>
    <w:rsid w:val="00C455ED"/>
    <w:rsid w:val="00C455F3"/>
    <w:rsid w:val="00C4584A"/>
    <w:rsid w:val="00C45878"/>
    <w:rsid w:val="00C461FC"/>
    <w:rsid w:val="00C468C9"/>
    <w:rsid w:val="00C4695A"/>
    <w:rsid w:val="00C46D84"/>
    <w:rsid w:val="00C46E6D"/>
    <w:rsid w:val="00C47311"/>
    <w:rsid w:val="00C4764D"/>
    <w:rsid w:val="00C47C97"/>
    <w:rsid w:val="00C47E88"/>
    <w:rsid w:val="00C50039"/>
    <w:rsid w:val="00C50654"/>
    <w:rsid w:val="00C5067B"/>
    <w:rsid w:val="00C50D74"/>
    <w:rsid w:val="00C5175C"/>
    <w:rsid w:val="00C51B40"/>
    <w:rsid w:val="00C52018"/>
    <w:rsid w:val="00C5215F"/>
    <w:rsid w:val="00C52654"/>
    <w:rsid w:val="00C52BA5"/>
    <w:rsid w:val="00C538CE"/>
    <w:rsid w:val="00C53D96"/>
    <w:rsid w:val="00C53F9D"/>
    <w:rsid w:val="00C5429D"/>
    <w:rsid w:val="00C54B45"/>
    <w:rsid w:val="00C54C39"/>
    <w:rsid w:val="00C54C5A"/>
    <w:rsid w:val="00C54F58"/>
    <w:rsid w:val="00C553C5"/>
    <w:rsid w:val="00C55524"/>
    <w:rsid w:val="00C557FA"/>
    <w:rsid w:val="00C5647C"/>
    <w:rsid w:val="00C566DF"/>
    <w:rsid w:val="00C568D7"/>
    <w:rsid w:val="00C56D32"/>
    <w:rsid w:val="00C56F96"/>
    <w:rsid w:val="00C57267"/>
    <w:rsid w:val="00C5781D"/>
    <w:rsid w:val="00C60235"/>
    <w:rsid w:val="00C602E0"/>
    <w:rsid w:val="00C603A3"/>
    <w:rsid w:val="00C60BF8"/>
    <w:rsid w:val="00C60C4F"/>
    <w:rsid w:val="00C60C5C"/>
    <w:rsid w:val="00C60D1D"/>
    <w:rsid w:val="00C6132A"/>
    <w:rsid w:val="00C613B8"/>
    <w:rsid w:val="00C61A3F"/>
    <w:rsid w:val="00C61AB6"/>
    <w:rsid w:val="00C61C62"/>
    <w:rsid w:val="00C62178"/>
    <w:rsid w:val="00C622E4"/>
    <w:rsid w:val="00C622EC"/>
    <w:rsid w:val="00C63220"/>
    <w:rsid w:val="00C6346D"/>
    <w:rsid w:val="00C63766"/>
    <w:rsid w:val="00C639A0"/>
    <w:rsid w:val="00C64962"/>
    <w:rsid w:val="00C666BE"/>
    <w:rsid w:val="00C6692A"/>
    <w:rsid w:val="00C66AD3"/>
    <w:rsid w:val="00C66F93"/>
    <w:rsid w:val="00C67484"/>
    <w:rsid w:val="00C676E4"/>
    <w:rsid w:val="00C70856"/>
    <w:rsid w:val="00C7095F"/>
    <w:rsid w:val="00C70AEB"/>
    <w:rsid w:val="00C70F4E"/>
    <w:rsid w:val="00C71359"/>
    <w:rsid w:val="00C715EC"/>
    <w:rsid w:val="00C71B95"/>
    <w:rsid w:val="00C722E1"/>
    <w:rsid w:val="00C729AF"/>
    <w:rsid w:val="00C729F9"/>
    <w:rsid w:val="00C72BD9"/>
    <w:rsid w:val="00C7343D"/>
    <w:rsid w:val="00C73AB6"/>
    <w:rsid w:val="00C73B29"/>
    <w:rsid w:val="00C73BED"/>
    <w:rsid w:val="00C73FB8"/>
    <w:rsid w:val="00C74CF0"/>
    <w:rsid w:val="00C752E7"/>
    <w:rsid w:val="00C756A0"/>
    <w:rsid w:val="00C760A5"/>
    <w:rsid w:val="00C767ED"/>
    <w:rsid w:val="00C77080"/>
    <w:rsid w:val="00C774B0"/>
    <w:rsid w:val="00C77772"/>
    <w:rsid w:val="00C77B13"/>
    <w:rsid w:val="00C801C4"/>
    <w:rsid w:val="00C80726"/>
    <w:rsid w:val="00C80BDF"/>
    <w:rsid w:val="00C80CF8"/>
    <w:rsid w:val="00C815D3"/>
    <w:rsid w:val="00C8160E"/>
    <w:rsid w:val="00C818F9"/>
    <w:rsid w:val="00C8199B"/>
    <w:rsid w:val="00C81A47"/>
    <w:rsid w:val="00C821B0"/>
    <w:rsid w:val="00C826CC"/>
    <w:rsid w:val="00C82880"/>
    <w:rsid w:val="00C82C8C"/>
    <w:rsid w:val="00C82F63"/>
    <w:rsid w:val="00C838AF"/>
    <w:rsid w:val="00C838F1"/>
    <w:rsid w:val="00C83B75"/>
    <w:rsid w:val="00C8413A"/>
    <w:rsid w:val="00C8431F"/>
    <w:rsid w:val="00C84882"/>
    <w:rsid w:val="00C84C53"/>
    <w:rsid w:val="00C84FA3"/>
    <w:rsid w:val="00C85055"/>
    <w:rsid w:val="00C861DC"/>
    <w:rsid w:val="00C8651A"/>
    <w:rsid w:val="00C86548"/>
    <w:rsid w:val="00C8731F"/>
    <w:rsid w:val="00C87443"/>
    <w:rsid w:val="00C87904"/>
    <w:rsid w:val="00C87F38"/>
    <w:rsid w:val="00C8A6AB"/>
    <w:rsid w:val="00C9038F"/>
    <w:rsid w:val="00C904F4"/>
    <w:rsid w:val="00C90563"/>
    <w:rsid w:val="00C90A29"/>
    <w:rsid w:val="00C90B80"/>
    <w:rsid w:val="00C91559"/>
    <w:rsid w:val="00C91645"/>
    <w:rsid w:val="00C91C29"/>
    <w:rsid w:val="00C91DE1"/>
    <w:rsid w:val="00C91FB1"/>
    <w:rsid w:val="00C922B8"/>
    <w:rsid w:val="00C9259E"/>
    <w:rsid w:val="00C928A5"/>
    <w:rsid w:val="00C92CA2"/>
    <w:rsid w:val="00C92D67"/>
    <w:rsid w:val="00C92DEE"/>
    <w:rsid w:val="00C9361F"/>
    <w:rsid w:val="00C93CE6"/>
    <w:rsid w:val="00C93F89"/>
    <w:rsid w:val="00C94222"/>
    <w:rsid w:val="00C949FA"/>
    <w:rsid w:val="00C94A3A"/>
    <w:rsid w:val="00C94D5A"/>
    <w:rsid w:val="00C9503E"/>
    <w:rsid w:val="00C9535E"/>
    <w:rsid w:val="00C95766"/>
    <w:rsid w:val="00C9588C"/>
    <w:rsid w:val="00C95A38"/>
    <w:rsid w:val="00C95ECB"/>
    <w:rsid w:val="00C96254"/>
    <w:rsid w:val="00C968B4"/>
    <w:rsid w:val="00C96B48"/>
    <w:rsid w:val="00C96BE9"/>
    <w:rsid w:val="00C97122"/>
    <w:rsid w:val="00C979FE"/>
    <w:rsid w:val="00C97A72"/>
    <w:rsid w:val="00C97EC3"/>
    <w:rsid w:val="00CA0794"/>
    <w:rsid w:val="00CA0B03"/>
    <w:rsid w:val="00CA136A"/>
    <w:rsid w:val="00CA151F"/>
    <w:rsid w:val="00CA16E7"/>
    <w:rsid w:val="00CA241E"/>
    <w:rsid w:val="00CA281E"/>
    <w:rsid w:val="00CA282E"/>
    <w:rsid w:val="00CA2CE8"/>
    <w:rsid w:val="00CA306A"/>
    <w:rsid w:val="00CA3D9F"/>
    <w:rsid w:val="00CA404F"/>
    <w:rsid w:val="00CA405E"/>
    <w:rsid w:val="00CA49AA"/>
    <w:rsid w:val="00CA4DA0"/>
    <w:rsid w:val="00CA5949"/>
    <w:rsid w:val="00CA5AC5"/>
    <w:rsid w:val="00CA5AFF"/>
    <w:rsid w:val="00CA5C78"/>
    <w:rsid w:val="00CA5F04"/>
    <w:rsid w:val="00CA5F2C"/>
    <w:rsid w:val="00CA602B"/>
    <w:rsid w:val="00CA60A8"/>
    <w:rsid w:val="00CA635C"/>
    <w:rsid w:val="00CA6ABD"/>
    <w:rsid w:val="00CA7018"/>
    <w:rsid w:val="00CA7ABD"/>
    <w:rsid w:val="00CB03A4"/>
    <w:rsid w:val="00CB0EC5"/>
    <w:rsid w:val="00CB13BD"/>
    <w:rsid w:val="00CB197C"/>
    <w:rsid w:val="00CB3433"/>
    <w:rsid w:val="00CB3573"/>
    <w:rsid w:val="00CB35E7"/>
    <w:rsid w:val="00CB36C8"/>
    <w:rsid w:val="00CB3D80"/>
    <w:rsid w:val="00CB40B0"/>
    <w:rsid w:val="00CB43C4"/>
    <w:rsid w:val="00CB4643"/>
    <w:rsid w:val="00CB47A4"/>
    <w:rsid w:val="00CB4B55"/>
    <w:rsid w:val="00CB4FD5"/>
    <w:rsid w:val="00CB5008"/>
    <w:rsid w:val="00CB5388"/>
    <w:rsid w:val="00CB5417"/>
    <w:rsid w:val="00CB5494"/>
    <w:rsid w:val="00CB555E"/>
    <w:rsid w:val="00CB5968"/>
    <w:rsid w:val="00CB59C9"/>
    <w:rsid w:val="00CB5AC7"/>
    <w:rsid w:val="00CB61A2"/>
    <w:rsid w:val="00CB669D"/>
    <w:rsid w:val="00CB6872"/>
    <w:rsid w:val="00CB7051"/>
    <w:rsid w:val="00CB7317"/>
    <w:rsid w:val="00CB7986"/>
    <w:rsid w:val="00CB7C36"/>
    <w:rsid w:val="00CB7CCA"/>
    <w:rsid w:val="00CB7F68"/>
    <w:rsid w:val="00CC1525"/>
    <w:rsid w:val="00CC153B"/>
    <w:rsid w:val="00CC1CF3"/>
    <w:rsid w:val="00CC1EC5"/>
    <w:rsid w:val="00CC1F30"/>
    <w:rsid w:val="00CC23C7"/>
    <w:rsid w:val="00CC256C"/>
    <w:rsid w:val="00CC2921"/>
    <w:rsid w:val="00CC2BA5"/>
    <w:rsid w:val="00CC2BF5"/>
    <w:rsid w:val="00CC2C05"/>
    <w:rsid w:val="00CC2D10"/>
    <w:rsid w:val="00CC2D97"/>
    <w:rsid w:val="00CC2EF6"/>
    <w:rsid w:val="00CC366B"/>
    <w:rsid w:val="00CC36E4"/>
    <w:rsid w:val="00CC3FB7"/>
    <w:rsid w:val="00CC40CE"/>
    <w:rsid w:val="00CC4967"/>
    <w:rsid w:val="00CC5164"/>
    <w:rsid w:val="00CC5B17"/>
    <w:rsid w:val="00CC5BE9"/>
    <w:rsid w:val="00CC5E2B"/>
    <w:rsid w:val="00CC6859"/>
    <w:rsid w:val="00CC6E3D"/>
    <w:rsid w:val="00CC7F62"/>
    <w:rsid w:val="00CC7F88"/>
    <w:rsid w:val="00CD01D8"/>
    <w:rsid w:val="00CD047F"/>
    <w:rsid w:val="00CD0A3F"/>
    <w:rsid w:val="00CD0ABF"/>
    <w:rsid w:val="00CD0C20"/>
    <w:rsid w:val="00CD1098"/>
    <w:rsid w:val="00CD11A8"/>
    <w:rsid w:val="00CD15EC"/>
    <w:rsid w:val="00CD170E"/>
    <w:rsid w:val="00CD1765"/>
    <w:rsid w:val="00CD2757"/>
    <w:rsid w:val="00CD34C2"/>
    <w:rsid w:val="00CD3879"/>
    <w:rsid w:val="00CD3FB2"/>
    <w:rsid w:val="00CD41D6"/>
    <w:rsid w:val="00CD4C1E"/>
    <w:rsid w:val="00CD4DFA"/>
    <w:rsid w:val="00CD4EE0"/>
    <w:rsid w:val="00CD6498"/>
    <w:rsid w:val="00CD6593"/>
    <w:rsid w:val="00CD6AE2"/>
    <w:rsid w:val="00CD6C08"/>
    <w:rsid w:val="00CD7A6F"/>
    <w:rsid w:val="00CD7CCD"/>
    <w:rsid w:val="00CD7DC2"/>
    <w:rsid w:val="00CE0510"/>
    <w:rsid w:val="00CE084B"/>
    <w:rsid w:val="00CE1790"/>
    <w:rsid w:val="00CE1A29"/>
    <w:rsid w:val="00CE1A8D"/>
    <w:rsid w:val="00CE1B5C"/>
    <w:rsid w:val="00CE1C74"/>
    <w:rsid w:val="00CE1F02"/>
    <w:rsid w:val="00CE256D"/>
    <w:rsid w:val="00CE2FCF"/>
    <w:rsid w:val="00CE3200"/>
    <w:rsid w:val="00CE3D34"/>
    <w:rsid w:val="00CE3F4E"/>
    <w:rsid w:val="00CE43E3"/>
    <w:rsid w:val="00CE4813"/>
    <w:rsid w:val="00CE499D"/>
    <w:rsid w:val="00CE4CDB"/>
    <w:rsid w:val="00CE4EC8"/>
    <w:rsid w:val="00CE511B"/>
    <w:rsid w:val="00CE6075"/>
    <w:rsid w:val="00CE64E4"/>
    <w:rsid w:val="00CE6A50"/>
    <w:rsid w:val="00CE70BF"/>
    <w:rsid w:val="00CE7117"/>
    <w:rsid w:val="00CE719F"/>
    <w:rsid w:val="00CE73C1"/>
    <w:rsid w:val="00CE76EE"/>
    <w:rsid w:val="00CE789C"/>
    <w:rsid w:val="00CE7E62"/>
    <w:rsid w:val="00CF0194"/>
    <w:rsid w:val="00CF01B5"/>
    <w:rsid w:val="00CF0495"/>
    <w:rsid w:val="00CF06DA"/>
    <w:rsid w:val="00CF08FD"/>
    <w:rsid w:val="00CF0AFE"/>
    <w:rsid w:val="00CF0EAF"/>
    <w:rsid w:val="00CF1471"/>
    <w:rsid w:val="00CF1930"/>
    <w:rsid w:val="00CF1A1B"/>
    <w:rsid w:val="00CF1A2B"/>
    <w:rsid w:val="00CF214B"/>
    <w:rsid w:val="00CF24E9"/>
    <w:rsid w:val="00CF29CD"/>
    <w:rsid w:val="00CF2DAA"/>
    <w:rsid w:val="00CF3117"/>
    <w:rsid w:val="00CF3ED9"/>
    <w:rsid w:val="00CF3F44"/>
    <w:rsid w:val="00CF401A"/>
    <w:rsid w:val="00CF4333"/>
    <w:rsid w:val="00CF467A"/>
    <w:rsid w:val="00CF4ABE"/>
    <w:rsid w:val="00CF4DF4"/>
    <w:rsid w:val="00CF4DFC"/>
    <w:rsid w:val="00CF4E3F"/>
    <w:rsid w:val="00CF5596"/>
    <w:rsid w:val="00CF55E9"/>
    <w:rsid w:val="00CF5681"/>
    <w:rsid w:val="00CF57ED"/>
    <w:rsid w:val="00CF5922"/>
    <w:rsid w:val="00CF5DCF"/>
    <w:rsid w:val="00CF60A4"/>
    <w:rsid w:val="00CF73A8"/>
    <w:rsid w:val="00CF7864"/>
    <w:rsid w:val="00CF78B7"/>
    <w:rsid w:val="00CF7BA1"/>
    <w:rsid w:val="00D003FB"/>
    <w:rsid w:val="00D00570"/>
    <w:rsid w:val="00D0067E"/>
    <w:rsid w:val="00D009B3"/>
    <w:rsid w:val="00D00FF9"/>
    <w:rsid w:val="00D01190"/>
    <w:rsid w:val="00D01D75"/>
    <w:rsid w:val="00D01E90"/>
    <w:rsid w:val="00D021E5"/>
    <w:rsid w:val="00D022C0"/>
    <w:rsid w:val="00D02395"/>
    <w:rsid w:val="00D02431"/>
    <w:rsid w:val="00D02523"/>
    <w:rsid w:val="00D02740"/>
    <w:rsid w:val="00D02744"/>
    <w:rsid w:val="00D027D7"/>
    <w:rsid w:val="00D0293D"/>
    <w:rsid w:val="00D03949"/>
    <w:rsid w:val="00D03A41"/>
    <w:rsid w:val="00D03B56"/>
    <w:rsid w:val="00D040C7"/>
    <w:rsid w:val="00D042BC"/>
    <w:rsid w:val="00D043F8"/>
    <w:rsid w:val="00D04CB8"/>
    <w:rsid w:val="00D04DD9"/>
    <w:rsid w:val="00D0510D"/>
    <w:rsid w:val="00D05234"/>
    <w:rsid w:val="00D055A9"/>
    <w:rsid w:val="00D05787"/>
    <w:rsid w:val="00D05825"/>
    <w:rsid w:val="00D064CD"/>
    <w:rsid w:val="00D06749"/>
    <w:rsid w:val="00D069CD"/>
    <w:rsid w:val="00D06F6A"/>
    <w:rsid w:val="00D0723E"/>
    <w:rsid w:val="00D07540"/>
    <w:rsid w:val="00D07595"/>
    <w:rsid w:val="00D07769"/>
    <w:rsid w:val="00D07778"/>
    <w:rsid w:val="00D07C77"/>
    <w:rsid w:val="00D07C9D"/>
    <w:rsid w:val="00D10171"/>
    <w:rsid w:val="00D10C8B"/>
    <w:rsid w:val="00D112CC"/>
    <w:rsid w:val="00D1154A"/>
    <w:rsid w:val="00D11F6B"/>
    <w:rsid w:val="00D12381"/>
    <w:rsid w:val="00D12E2F"/>
    <w:rsid w:val="00D1344C"/>
    <w:rsid w:val="00D136DD"/>
    <w:rsid w:val="00D138A6"/>
    <w:rsid w:val="00D13E64"/>
    <w:rsid w:val="00D145BC"/>
    <w:rsid w:val="00D14B54"/>
    <w:rsid w:val="00D14DBA"/>
    <w:rsid w:val="00D14FBC"/>
    <w:rsid w:val="00D15521"/>
    <w:rsid w:val="00D156D7"/>
    <w:rsid w:val="00D158D9"/>
    <w:rsid w:val="00D165DC"/>
    <w:rsid w:val="00D1683B"/>
    <w:rsid w:val="00D16CB0"/>
    <w:rsid w:val="00D16F11"/>
    <w:rsid w:val="00D171EE"/>
    <w:rsid w:val="00D17202"/>
    <w:rsid w:val="00D1765F"/>
    <w:rsid w:val="00D179E4"/>
    <w:rsid w:val="00D17CAD"/>
    <w:rsid w:val="00D17CDF"/>
    <w:rsid w:val="00D17DFD"/>
    <w:rsid w:val="00D200F6"/>
    <w:rsid w:val="00D20137"/>
    <w:rsid w:val="00D208B1"/>
    <w:rsid w:val="00D20A8D"/>
    <w:rsid w:val="00D20BDD"/>
    <w:rsid w:val="00D21256"/>
    <w:rsid w:val="00D21258"/>
    <w:rsid w:val="00D2190A"/>
    <w:rsid w:val="00D21C91"/>
    <w:rsid w:val="00D222FA"/>
    <w:rsid w:val="00D225B8"/>
    <w:rsid w:val="00D22672"/>
    <w:rsid w:val="00D22677"/>
    <w:rsid w:val="00D226A0"/>
    <w:rsid w:val="00D229C0"/>
    <w:rsid w:val="00D23274"/>
    <w:rsid w:val="00D23D1B"/>
    <w:rsid w:val="00D23D96"/>
    <w:rsid w:val="00D244F7"/>
    <w:rsid w:val="00D24FD5"/>
    <w:rsid w:val="00D254B1"/>
    <w:rsid w:val="00D25A57"/>
    <w:rsid w:val="00D25D76"/>
    <w:rsid w:val="00D25EA0"/>
    <w:rsid w:val="00D26337"/>
    <w:rsid w:val="00D269AA"/>
    <w:rsid w:val="00D26B09"/>
    <w:rsid w:val="00D26EA9"/>
    <w:rsid w:val="00D26EF6"/>
    <w:rsid w:val="00D27019"/>
    <w:rsid w:val="00D2709C"/>
    <w:rsid w:val="00D27147"/>
    <w:rsid w:val="00D27371"/>
    <w:rsid w:val="00D27A95"/>
    <w:rsid w:val="00D27BFB"/>
    <w:rsid w:val="00D27DD1"/>
    <w:rsid w:val="00D27F4F"/>
    <w:rsid w:val="00D30192"/>
    <w:rsid w:val="00D30568"/>
    <w:rsid w:val="00D30785"/>
    <w:rsid w:val="00D307D2"/>
    <w:rsid w:val="00D30880"/>
    <w:rsid w:val="00D309E3"/>
    <w:rsid w:val="00D30F08"/>
    <w:rsid w:val="00D30F31"/>
    <w:rsid w:val="00D31063"/>
    <w:rsid w:val="00D310EF"/>
    <w:rsid w:val="00D31362"/>
    <w:rsid w:val="00D31597"/>
    <w:rsid w:val="00D3175A"/>
    <w:rsid w:val="00D31A78"/>
    <w:rsid w:val="00D31A98"/>
    <w:rsid w:val="00D31AEC"/>
    <w:rsid w:val="00D31D7F"/>
    <w:rsid w:val="00D31DBE"/>
    <w:rsid w:val="00D31FDF"/>
    <w:rsid w:val="00D32061"/>
    <w:rsid w:val="00D32094"/>
    <w:rsid w:val="00D323BF"/>
    <w:rsid w:val="00D32466"/>
    <w:rsid w:val="00D32B05"/>
    <w:rsid w:val="00D32B37"/>
    <w:rsid w:val="00D32DF8"/>
    <w:rsid w:val="00D333D9"/>
    <w:rsid w:val="00D33419"/>
    <w:rsid w:val="00D33ABC"/>
    <w:rsid w:val="00D34617"/>
    <w:rsid w:val="00D347F6"/>
    <w:rsid w:val="00D34891"/>
    <w:rsid w:val="00D34FBF"/>
    <w:rsid w:val="00D354DA"/>
    <w:rsid w:val="00D35708"/>
    <w:rsid w:val="00D35FA7"/>
    <w:rsid w:val="00D35FB7"/>
    <w:rsid w:val="00D36860"/>
    <w:rsid w:val="00D375B3"/>
    <w:rsid w:val="00D376BA"/>
    <w:rsid w:val="00D37705"/>
    <w:rsid w:val="00D37889"/>
    <w:rsid w:val="00D37C00"/>
    <w:rsid w:val="00D37FF6"/>
    <w:rsid w:val="00D400D4"/>
    <w:rsid w:val="00D40122"/>
    <w:rsid w:val="00D4035B"/>
    <w:rsid w:val="00D4067D"/>
    <w:rsid w:val="00D40CC6"/>
    <w:rsid w:val="00D41297"/>
    <w:rsid w:val="00D41580"/>
    <w:rsid w:val="00D41C8D"/>
    <w:rsid w:val="00D41CC2"/>
    <w:rsid w:val="00D421E8"/>
    <w:rsid w:val="00D42C0D"/>
    <w:rsid w:val="00D42DBE"/>
    <w:rsid w:val="00D42DE7"/>
    <w:rsid w:val="00D435C2"/>
    <w:rsid w:val="00D43B23"/>
    <w:rsid w:val="00D43E8A"/>
    <w:rsid w:val="00D446FA"/>
    <w:rsid w:val="00D448C3"/>
    <w:rsid w:val="00D45089"/>
    <w:rsid w:val="00D457D2"/>
    <w:rsid w:val="00D45A10"/>
    <w:rsid w:val="00D45ADC"/>
    <w:rsid w:val="00D45BC0"/>
    <w:rsid w:val="00D4622B"/>
    <w:rsid w:val="00D4669F"/>
    <w:rsid w:val="00D4680D"/>
    <w:rsid w:val="00D46BC2"/>
    <w:rsid w:val="00D46C7F"/>
    <w:rsid w:val="00D4760D"/>
    <w:rsid w:val="00D47655"/>
    <w:rsid w:val="00D476EE"/>
    <w:rsid w:val="00D47FE0"/>
    <w:rsid w:val="00D503FD"/>
    <w:rsid w:val="00D50692"/>
    <w:rsid w:val="00D508D5"/>
    <w:rsid w:val="00D51A47"/>
    <w:rsid w:val="00D51B27"/>
    <w:rsid w:val="00D51F12"/>
    <w:rsid w:val="00D520FA"/>
    <w:rsid w:val="00D52256"/>
    <w:rsid w:val="00D52350"/>
    <w:rsid w:val="00D526EF"/>
    <w:rsid w:val="00D5295B"/>
    <w:rsid w:val="00D52A86"/>
    <w:rsid w:val="00D52CD7"/>
    <w:rsid w:val="00D52FD2"/>
    <w:rsid w:val="00D532FD"/>
    <w:rsid w:val="00D53588"/>
    <w:rsid w:val="00D53AA7"/>
    <w:rsid w:val="00D53DAF"/>
    <w:rsid w:val="00D542B2"/>
    <w:rsid w:val="00D543B5"/>
    <w:rsid w:val="00D54C17"/>
    <w:rsid w:val="00D5552E"/>
    <w:rsid w:val="00D556E3"/>
    <w:rsid w:val="00D55D10"/>
    <w:rsid w:val="00D563B5"/>
    <w:rsid w:val="00D56633"/>
    <w:rsid w:val="00D568ED"/>
    <w:rsid w:val="00D56AE0"/>
    <w:rsid w:val="00D56B11"/>
    <w:rsid w:val="00D56D5A"/>
    <w:rsid w:val="00D57360"/>
    <w:rsid w:val="00D57FBC"/>
    <w:rsid w:val="00D60100"/>
    <w:rsid w:val="00D603A4"/>
    <w:rsid w:val="00D606B6"/>
    <w:rsid w:val="00D60A2E"/>
    <w:rsid w:val="00D60EA0"/>
    <w:rsid w:val="00D6147D"/>
    <w:rsid w:val="00D615F2"/>
    <w:rsid w:val="00D618AE"/>
    <w:rsid w:val="00D618DC"/>
    <w:rsid w:val="00D61909"/>
    <w:rsid w:val="00D61D45"/>
    <w:rsid w:val="00D622EB"/>
    <w:rsid w:val="00D62417"/>
    <w:rsid w:val="00D62D71"/>
    <w:rsid w:val="00D62D9F"/>
    <w:rsid w:val="00D6302A"/>
    <w:rsid w:val="00D630B2"/>
    <w:rsid w:val="00D630BF"/>
    <w:rsid w:val="00D63518"/>
    <w:rsid w:val="00D63722"/>
    <w:rsid w:val="00D63881"/>
    <w:rsid w:val="00D639B7"/>
    <w:rsid w:val="00D63A32"/>
    <w:rsid w:val="00D63AA5"/>
    <w:rsid w:val="00D63B9C"/>
    <w:rsid w:val="00D63E29"/>
    <w:rsid w:val="00D64100"/>
    <w:rsid w:val="00D6455D"/>
    <w:rsid w:val="00D64861"/>
    <w:rsid w:val="00D64ADC"/>
    <w:rsid w:val="00D64C63"/>
    <w:rsid w:val="00D64ED2"/>
    <w:rsid w:val="00D651C7"/>
    <w:rsid w:val="00D6535D"/>
    <w:rsid w:val="00D653F4"/>
    <w:rsid w:val="00D65678"/>
    <w:rsid w:val="00D65A0A"/>
    <w:rsid w:val="00D65FEB"/>
    <w:rsid w:val="00D66076"/>
    <w:rsid w:val="00D66AEF"/>
    <w:rsid w:val="00D66BD7"/>
    <w:rsid w:val="00D672DD"/>
    <w:rsid w:val="00D6782F"/>
    <w:rsid w:val="00D67ABE"/>
    <w:rsid w:val="00D67C3F"/>
    <w:rsid w:val="00D67E4C"/>
    <w:rsid w:val="00D67F47"/>
    <w:rsid w:val="00D67FC6"/>
    <w:rsid w:val="00D700FD"/>
    <w:rsid w:val="00D706F0"/>
    <w:rsid w:val="00D70933"/>
    <w:rsid w:val="00D709E7"/>
    <w:rsid w:val="00D70C20"/>
    <w:rsid w:val="00D70C32"/>
    <w:rsid w:val="00D70C45"/>
    <w:rsid w:val="00D70F8E"/>
    <w:rsid w:val="00D7121C"/>
    <w:rsid w:val="00D7136D"/>
    <w:rsid w:val="00D71C79"/>
    <w:rsid w:val="00D71CC3"/>
    <w:rsid w:val="00D7241C"/>
    <w:rsid w:val="00D7254F"/>
    <w:rsid w:val="00D72631"/>
    <w:rsid w:val="00D72BCB"/>
    <w:rsid w:val="00D73E6E"/>
    <w:rsid w:val="00D73ED6"/>
    <w:rsid w:val="00D74128"/>
    <w:rsid w:val="00D747B1"/>
    <w:rsid w:val="00D74C0B"/>
    <w:rsid w:val="00D75349"/>
    <w:rsid w:val="00D75402"/>
    <w:rsid w:val="00D75423"/>
    <w:rsid w:val="00D755F1"/>
    <w:rsid w:val="00D75D87"/>
    <w:rsid w:val="00D76079"/>
    <w:rsid w:val="00D761F4"/>
    <w:rsid w:val="00D76324"/>
    <w:rsid w:val="00D7637C"/>
    <w:rsid w:val="00D76811"/>
    <w:rsid w:val="00D76A91"/>
    <w:rsid w:val="00D778C6"/>
    <w:rsid w:val="00D778EC"/>
    <w:rsid w:val="00D77EF4"/>
    <w:rsid w:val="00D8044B"/>
    <w:rsid w:val="00D80CEA"/>
    <w:rsid w:val="00D80D5C"/>
    <w:rsid w:val="00D81351"/>
    <w:rsid w:val="00D8141E"/>
    <w:rsid w:val="00D815A2"/>
    <w:rsid w:val="00D82016"/>
    <w:rsid w:val="00D82688"/>
    <w:rsid w:val="00D829D0"/>
    <w:rsid w:val="00D82BB7"/>
    <w:rsid w:val="00D82DC8"/>
    <w:rsid w:val="00D8300C"/>
    <w:rsid w:val="00D8302D"/>
    <w:rsid w:val="00D831A1"/>
    <w:rsid w:val="00D8349F"/>
    <w:rsid w:val="00D834AD"/>
    <w:rsid w:val="00D83541"/>
    <w:rsid w:val="00D83724"/>
    <w:rsid w:val="00D83BFF"/>
    <w:rsid w:val="00D83C06"/>
    <w:rsid w:val="00D83FF4"/>
    <w:rsid w:val="00D84052"/>
    <w:rsid w:val="00D84EBF"/>
    <w:rsid w:val="00D8501A"/>
    <w:rsid w:val="00D858F9"/>
    <w:rsid w:val="00D85B91"/>
    <w:rsid w:val="00D85DAB"/>
    <w:rsid w:val="00D85ED2"/>
    <w:rsid w:val="00D860C5"/>
    <w:rsid w:val="00D86155"/>
    <w:rsid w:val="00D862C1"/>
    <w:rsid w:val="00D86699"/>
    <w:rsid w:val="00D86867"/>
    <w:rsid w:val="00D876D1"/>
    <w:rsid w:val="00D87787"/>
    <w:rsid w:val="00D87A78"/>
    <w:rsid w:val="00D87BAD"/>
    <w:rsid w:val="00D87E52"/>
    <w:rsid w:val="00D87F0D"/>
    <w:rsid w:val="00D87FB7"/>
    <w:rsid w:val="00D90696"/>
    <w:rsid w:val="00D90B8A"/>
    <w:rsid w:val="00D913E0"/>
    <w:rsid w:val="00D9195B"/>
    <w:rsid w:val="00D91B83"/>
    <w:rsid w:val="00D91DDC"/>
    <w:rsid w:val="00D9215E"/>
    <w:rsid w:val="00D92218"/>
    <w:rsid w:val="00D92520"/>
    <w:rsid w:val="00D92712"/>
    <w:rsid w:val="00D9288F"/>
    <w:rsid w:val="00D92BCF"/>
    <w:rsid w:val="00D92FAF"/>
    <w:rsid w:val="00D931A9"/>
    <w:rsid w:val="00D93462"/>
    <w:rsid w:val="00D935BE"/>
    <w:rsid w:val="00D93780"/>
    <w:rsid w:val="00D937D6"/>
    <w:rsid w:val="00D93B6B"/>
    <w:rsid w:val="00D93E2D"/>
    <w:rsid w:val="00D94281"/>
    <w:rsid w:val="00D94350"/>
    <w:rsid w:val="00D949B2"/>
    <w:rsid w:val="00D94C3A"/>
    <w:rsid w:val="00D94CA1"/>
    <w:rsid w:val="00D94FFB"/>
    <w:rsid w:val="00D950CC"/>
    <w:rsid w:val="00D95129"/>
    <w:rsid w:val="00D9585B"/>
    <w:rsid w:val="00D95BE9"/>
    <w:rsid w:val="00D964F5"/>
    <w:rsid w:val="00D96879"/>
    <w:rsid w:val="00D96B71"/>
    <w:rsid w:val="00D96E6F"/>
    <w:rsid w:val="00D97290"/>
    <w:rsid w:val="00D974AE"/>
    <w:rsid w:val="00D979AF"/>
    <w:rsid w:val="00D97B41"/>
    <w:rsid w:val="00DA0A46"/>
    <w:rsid w:val="00DA0A73"/>
    <w:rsid w:val="00DA0BA0"/>
    <w:rsid w:val="00DA0E86"/>
    <w:rsid w:val="00DA0F30"/>
    <w:rsid w:val="00DA11A6"/>
    <w:rsid w:val="00DA11CF"/>
    <w:rsid w:val="00DA1927"/>
    <w:rsid w:val="00DA1D33"/>
    <w:rsid w:val="00DA204F"/>
    <w:rsid w:val="00DA2CEA"/>
    <w:rsid w:val="00DA3015"/>
    <w:rsid w:val="00DA30EF"/>
    <w:rsid w:val="00DA364B"/>
    <w:rsid w:val="00DA3C25"/>
    <w:rsid w:val="00DA3E55"/>
    <w:rsid w:val="00DA48F5"/>
    <w:rsid w:val="00DA493D"/>
    <w:rsid w:val="00DA58EA"/>
    <w:rsid w:val="00DA5ACD"/>
    <w:rsid w:val="00DA5C80"/>
    <w:rsid w:val="00DA6150"/>
    <w:rsid w:val="00DA6196"/>
    <w:rsid w:val="00DA61E5"/>
    <w:rsid w:val="00DA69A8"/>
    <w:rsid w:val="00DA6FD5"/>
    <w:rsid w:val="00DA7138"/>
    <w:rsid w:val="00DA7214"/>
    <w:rsid w:val="00DA7592"/>
    <w:rsid w:val="00DA77E5"/>
    <w:rsid w:val="00DA7A49"/>
    <w:rsid w:val="00DA7C9B"/>
    <w:rsid w:val="00DA7EB5"/>
    <w:rsid w:val="00DB0335"/>
    <w:rsid w:val="00DB03A9"/>
    <w:rsid w:val="00DB074E"/>
    <w:rsid w:val="00DB0884"/>
    <w:rsid w:val="00DB0942"/>
    <w:rsid w:val="00DB0C3E"/>
    <w:rsid w:val="00DB1533"/>
    <w:rsid w:val="00DB215D"/>
    <w:rsid w:val="00DB277F"/>
    <w:rsid w:val="00DB27B2"/>
    <w:rsid w:val="00DB29F9"/>
    <w:rsid w:val="00DB2B0C"/>
    <w:rsid w:val="00DB2D74"/>
    <w:rsid w:val="00DB3123"/>
    <w:rsid w:val="00DB31F0"/>
    <w:rsid w:val="00DB31F8"/>
    <w:rsid w:val="00DB3270"/>
    <w:rsid w:val="00DB3841"/>
    <w:rsid w:val="00DB39AC"/>
    <w:rsid w:val="00DB39AD"/>
    <w:rsid w:val="00DB40F0"/>
    <w:rsid w:val="00DB43C5"/>
    <w:rsid w:val="00DB43FB"/>
    <w:rsid w:val="00DB4B94"/>
    <w:rsid w:val="00DB4EDC"/>
    <w:rsid w:val="00DB518A"/>
    <w:rsid w:val="00DB5308"/>
    <w:rsid w:val="00DB574F"/>
    <w:rsid w:val="00DB5850"/>
    <w:rsid w:val="00DB5AA9"/>
    <w:rsid w:val="00DB5AD4"/>
    <w:rsid w:val="00DB64C3"/>
    <w:rsid w:val="00DB720A"/>
    <w:rsid w:val="00DB74EC"/>
    <w:rsid w:val="00DB7CA1"/>
    <w:rsid w:val="00DC04BB"/>
    <w:rsid w:val="00DC064B"/>
    <w:rsid w:val="00DC070D"/>
    <w:rsid w:val="00DC0A18"/>
    <w:rsid w:val="00DC0BF6"/>
    <w:rsid w:val="00DC0EB2"/>
    <w:rsid w:val="00DC0F09"/>
    <w:rsid w:val="00DC1270"/>
    <w:rsid w:val="00DC1707"/>
    <w:rsid w:val="00DC18BE"/>
    <w:rsid w:val="00DC1ECF"/>
    <w:rsid w:val="00DC2080"/>
    <w:rsid w:val="00DC208D"/>
    <w:rsid w:val="00DC2807"/>
    <w:rsid w:val="00DC29F3"/>
    <w:rsid w:val="00DC3A05"/>
    <w:rsid w:val="00DC3BBC"/>
    <w:rsid w:val="00DC3E3E"/>
    <w:rsid w:val="00DC40E5"/>
    <w:rsid w:val="00DC4C38"/>
    <w:rsid w:val="00DC5643"/>
    <w:rsid w:val="00DC59DC"/>
    <w:rsid w:val="00DC5FEB"/>
    <w:rsid w:val="00DC60F6"/>
    <w:rsid w:val="00DC6354"/>
    <w:rsid w:val="00DC697E"/>
    <w:rsid w:val="00DC6A84"/>
    <w:rsid w:val="00DC6B78"/>
    <w:rsid w:val="00DC6C15"/>
    <w:rsid w:val="00DC77F3"/>
    <w:rsid w:val="00DC7A5E"/>
    <w:rsid w:val="00DC7BD9"/>
    <w:rsid w:val="00DD00EE"/>
    <w:rsid w:val="00DD0473"/>
    <w:rsid w:val="00DD04C5"/>
    <w:rsid w:val="00DD0C77"/>
    <w:rsid w:val="00DD0D8E"/>
    <w:rsid w:val="00DD104A"/>
    <w:rsid w:val="00DD1387"/>
    <w:rsid w:val="00DD181F"/>
    <w:rsid w:val="00DD1D9E"/>
    <w:rsid w:val="00DD2768"/>
    <w:rsid w:val="00DD2C38"/>
    <w:rsid w:val="00DD307C"/>
    <w:rsid w:val="00DD30E6"/>
    <w:rsid w:val="00DD3BF4"/>
    <w:rsid w:val="00DD4079"/>
    <w:rsid w:val="00DD40D3"/>
    <w:rsid w:val="00DD45D9"/>
    <w:rsid w:val="00DD4691"/>
    <w:rsid w:val="00DD4C35"/>
    <w:rsid w:val="00DD4ED4"/>
    <w:rsid w:val="00DD5080"/>
    <w:rsid w:val="00DD5819"/>
    <w:rsid w:val="00DD5BDF"/>
    <w:rsid w:val="00DD5C52"/>
    <w:rsid w:val="00DD5FC0"/>
    <w:rsid w:val="00DD645D"/>
    <w:rsid w:val="00DD6466"/>
    <w:rsid w:val="00DD6CCC"/>
    <w:rsid w:val="00DD6E33"/>
    <w:rsid w:val="00DD7715"/>
    <w:rsid w:val="00DD7777"/>
    <w:rsid w:val="00DD7A22"/>
    <w:rsid w:val="00DD7E82"/>
    <w:rsid w:val="00DE02F4"/>
    <w:rsid w:val="00DE0731"/>
    <w:rsid w:val="00DE07D7"/>
    <w:rsid w:val="00DE0ED4"/>
    <w:rsid w:val="00DE126A"/>
    <w:rsid w:val="00DE15DD"/>
    <w:rsid w:val="00DE162D"/>
    <w:rsid w:val="00DE1AEF"/>
    <w:rsid w:val="00DE207D"/>
    <w:rsid w:val="00DE2896"/>
    <w:rsid w:val="00DE28EA"/>
    <w:rsid w:val="00DE2958"/>
    <w:rsid w:val="00DE2CCE"/>
    <w:rsid w:val="00DE2D06"/>
    <w:rsid w:val="00DE2E20"/>
    <w:rsid w:val="00DE313E"/>
    <w:rsid w:val="00DE350B"/>
    <w:rsid w:val="00DE37C0"/>
    <w:rsid w:val="00DE3A52"/>
    <w:rsid w:val="00DE4214"/>
    <w:rsid w:val="00DE49A4"/>
    <w:rsid w:val="00DE4C25"/>
    <w:rsid w:val="00DE5114"/>
    <w:rsid w:val="00DE52F6"/>
    <w:rsid w:val="00DE5437"/>
    <w:rsid w:val="00DE5579"/>
    <w:rsid w:val="00DE5897"/>
    <w:rsid w:val="00DE5EA7"/>
    <w:rsid w:val="00DE5F14"/>
    <w:rsid w:val="00DE6052"/>
    <w:rsid w:val="00DE6083"/>
    <w:rsid w:val="00DE6551"/>
    <w:rsid w:val="00DE6562"/>
    <w:rsid w:val="00DE6AA6"/>
    <w:rsid w:val="00DE7260"/>
    <w:rsid w:val="00DE739D"/>
    <w:rsid w:val="00DE7580"/>
    <w:rsid w:val="00DE7948"/>
    <w:rsid w:val="00DE7D2C"/>
    <w:rsid w:val="00DF001E"/>
    <w:rsid w:val="00DF0879"/>
    <w:rsid w:val="00DF0B69"/>
    <w:rsid w:val="00DF0CCB"/>
    <w:rsid w:val="00DF1238"/>
    <w:rsid w:val="00DF1243"/>
    <w:rsid w:val="00DF17EC"/>
    <w:rsid w:val="00DF19B5"/>
    <w:rsid w:val="00DF1B9B"/>
    <w:rsid w:val="00DF1F4E"/>
    <w:rsid w:val="00DF2556"/>
    <w:rsid w:val="00DF2677"/>
    <w:rsid w:val="00DF3084"/>
    <w:rsid w:val="00DF3853"/>
    <w:rsid w:val="00DF3980"/>
    <w:rsid w:val="00DF3EA8"/>
    <w:rsid w:val="00DF4796"/>
    <w:rsid w:val="00DF4C40"/>
    <w:rsid w:val="00DF4C82"/>
    <w:rsid w:val="00DF4D8D"/>
    <w:rsid w:val="00DF4E0B"/>
    <w:rsid w:val="00DF5057"/>
    <w:rsid w:val="00DF509D"/>
    <w:rsid w:val="00DF5121"/>
    <w:rsid w:val="00DF535A"/>
    <w:rsid w:val="00DF5630"/>
    <w:rsid w:val="00DF5A31"/>
    <w:rsid w:val="00DF5ECF"/>
    <w:rsid w:val="00DF6437"/>
    <w:rsid w:val="00DF69C3"/>
    <w:rsid w:val="00DF69D6"/>
    <w:rsid w:val="00DF6EFF"/>
    <w:rsid w:val="00DF7233"/>
    <w:rsid w:val="00DF7266"/>
    <w:rsid w:val="00DF7323"/>
    <w:rsid w:val="00DF735A"/>
    <w:rsid w:val="00DF75C9"/>
    <w:rsid w:val="00DF7875"/>
    <w:rsid w:val="00DF7958"/>
    <w:rsid w:val="00DF7981"/>
    <w:rsid w:val="00E002BB"/>
    <w:rsid w:val="00E0033D"/>
    <w:rsid w:val="00E00CF9"/>
    <w:rsid w:val="00E00E57"/>
    <w:rsid w:val="00E0143E"/>
    <w:rsid w:val="00E0171A"/>
    <w:rsid w:val="00E017B6"/>
    <w:rsid w:val="00E0180F"/>
    <w:rsid w:val="00E01890"/>
    <w:rsid w:val="00E01BB4"/>
    <w:rsid w:val="00E020A1"/>
    <w:rsid w:val="00E021FE"/>
    <w:rsid w:val="00E0265E"/>
    <w:rsid w:val="00E027A3"/>
    <w:rsid w:val="00E029A3"/>
    <w:rsid w:val="00E02AF8"/>
    <w:rsid w:val="00E02F61"/>
    <w:rsid w:val="00E02F86"/>
    <w:rsid w:val="00E036F9"/>
    <w:rsid w:val="00E0389E"/>
    <w:rsid w:val="00E03ADB"/>
    <w:rsid w:val="00E03F65"/>
    <w:rsid w:val="00E04090"/>
    <w:rsid w:val="00E04813"/>
    <w:rsid w:val="00E049CB"/>
    <w:rsid w:val="00E04D5E"/>
    <w:rsid w:val="00E05021"/>
    <w:rsid w:val="00E05172"/>
    <w:rsid w:val="00E052E9"/>
    <w:rsid w:val="00E05B87"/>
    <w:rsid w:val="00E05BCF"/>
    <w:rsid w:val="00E05D53"/>
    <w:rsid w:val="00E05D64"/>
    <w:rsid w:val="00E060C0"/>
    <w:rsid w:val="00E0614C"/>
    <w:rsid w:val="00E06408"/>
    <w:rsid w:val="00E06782"/>
    <w:rsid w:val="00E06A2E"/>
    <w:rsid w:val="00E06AAD"/>
    <w:rsid w:val="00E06BBB"/>
    <w:rsid w:val="00E06C27"/>
    <w:rsid w:val="00E06DCC"/>
    <w:rsid w:val="00E07158"/>
    <w:rsid w:val="00E07CCA"/>
    <w:rsid w:val="00E103AE"/>
    <w:rsid w:val="00E11070"/>
    <w:rsid w:val="00E11ED4"/>
    <w:rsid w:val="00E120FE"/>
    <w:rsid w:val="00E1226E"/>
    <w:rsid w:val="00E1236C"/>
    <w:rsid w:val="00E12380"/>
    <w:rsid w:val="00E127C5"/>
    <w:rsid w:val="00E12824"/>
    <w:rsid w:val="00E128AE"/>
    <w:rsid w:val="00E129B6"/>
    <w:rsid w:val="00E13B91"/>
    <w:rsid w:val="00E13F3F"/>
    <w:rsid w:val="00E14076"/>
    <w:rsid w:val="00E140F4"/>
    <w:rsid w:val="00E14AF4"/>
    <w:rsid w:val="00E14E23"/>
    <w:rsid w:val="00E14FC0"/>
    <w:rsid w:val="00E15CAB"/>
    <w:rsid w:val="00E15F85"/>
    <w:rsid w:val="00E1653C"/>
    <w:rsid w:val="00E167F3"/>
    <w:rsid w:val="00E16D13"/>
    <w:rsid w:val="00E175AF"/>
    <w:rsid w:val="00E17630"/>
    <w:rsid w:val="00E17836"/>
    <w:rsid w:val="00E201AE"/>
    <w:rsid w:val="00E20235"/>
    <w:rsid w:val="00E202E0"/>
    <w:rsid w:val="00E20AFE"/>
    <w:rsid w:val="00E20F63"/>
    <w:rsid w:val="00E2121C"/>
    <w:rsid w:val="00E212BF"/>
    <w:rsid w:val="00E21A0C"/>
    <w:rsid w:val="00E21A2E"/>
    <w:rsid w:val="00E21AD8"/>
    <w:rsid w:val="00E22418"/>
    <w:rsid w:val="00E2247F"/>
    <w:rsid w:val="00E22832"/>
    <w:rsid w:val="00E22952"/>
    <w:rsid w:val="00E229EB"/>
    <w:rsid w:val="00E22BA3"/>
    <w:rsid w:val="00E230C9"/>
    <w:rsid w:val="00E23153"/>
    <w:rsid w:val="00E232FD"/>
    <w:rsid w:val="00E23552"/>
    <w:rsid w:val="00E23C8A"/>
    <w:rsid w:val="00E23F9A"/>
    <w:rsid w:val="00E24234"/>
    <w:rsid w:val="00E2438C"/>
    <w:rsid w:val="00E24408"/>
    <w:rsid w:val="00E24454"/>
    <w:rsid w:val="00E24547"/>
    <w:rsid w:val="00E246DF"/>
    <w:rsid w:val="00E24891"/>
    <w:rsid w:val="00E248AF"/>
    <w:rsid w:val="00E25411"/>
    <w:rsid w:val="00E25880"/>
    <w:rsid w:val="00E2593D"/>
    <w:rsid w:val="00E25A81"/>
    <w:rsid w:val="00E25E03"/>
    <w:rsid w:val="00E2625E"/>
    <w:rsid w:val="00E267C1"/>
    <w:rsid w:val="00E26841"/>
    <w:rsid w:val="00E276D1"/>
    <w:rsid w:val="00E277BF"/>
    <w:rsid w:val="00E2786A"/>
    <w:rsid w:val="00E27AC2"/>
    <w:rsid w:val="00E3024E"/>
    <w:rsid w:val="00E30FC7"/>
    <w:rsid w:val="00E31444"/>
    <w:rsid w:val="00E31E9F"/>
    <w:rsid w:val="00E32213"/>
    <w:rsid w:val="00E32450"/>
    <w:rsid w:val="00E327E8"/>
    <w:rsid w:val="00E32BD2"/>
    <w:rsid w:val="00E32CAA"/>
    <w:rsid w:val="00E32F83"/>
    <w:rsid w:val="00E3335F"/>
    <w:rsid w:val="00E33C3B"/>
    <w:rsid w:val="00E33EF0"/>
    <w:rsid w:val="00E33F35"/>
    <w:rsid w:val="00E34348"/>
    <w:rsid w:val="00E34849"/>
    <w:rsid w:val="00E349ED"/>
    <w:rsid w:val="00E34D00"/>
    <w:rsid w:val="00E352FB"/>
    <w:rsid w:val="00E360E2"/>
    <w:rsid w:val="00E367C6"/>
    <w:rsid w:val="00E36A87"/>
    <w:rsid w:val="00E36B9E"/>
    <w:rsid w:val="00E37057"/>
    <w:rsid w:val="00E370EB"/>
    <w:rsid w:val="00E3725B"/>
    <w:rsid w:val="00E37A05"/>
    <w:rsid w:val="00E402AF"/>
    <w:rsid w:val="00E40712"/>
    <w:rsid w:val="00E412B0"/>
    <w:rsid w:val="00E413F2"/>
    <w:rsid w:val="00E41966"/>
    <w:rsid w:val="00E41F69"/>
    <w:rsid w:val="00E41FD2"/>
    <w:rsid w:val="00E423EE"/>
    <w:rsid w:val="00E426C2"/>
    <w:rsid w:val="00E42DA3"/>
    <w:rsid w:val="00E42E24"/>
    <w:rsid w:val="00E43037"/>
    <w:rsid w:val="00E431FC"/>
    <w:rsid w:val="00E432D3"/>
    <w:rsid w:val="00E434F2"/>
    <w:rsid w:val="00E43660"/>
    <w:rsid w:val="00E4386F"/>
    <w:rsid w:val="00E43B1B"/>
    <w:rsid w:val="00E44CF7"/>
    <w:rsid w:val="00E4525B"/>
    <w:rsid w:val="00E45860"/>
    <w:rsid w:val="00E45CB6"/>
    <w:rsid w:val="00E45D21"/>
    <w:rsid w:val="00E45E35"/>
    <w:rsid w:val="00E45FBC"/>
    <w:rsid w:val="00E46174"/>
    <w:rsid w:val="00E468FA"/>
    <w:rsid w:val="00E46D2E"/>
    <w:rsid w:val="00E47189"/>
    <w:rsid w:val="00E478F2"/>
    <w:rsid w:val="00E47BAE"/>
    <w:rsid w:val="00E47BEA"/>
    <w:rsid w:val="00E47CAB"/>
    <w:rsid w:val="00E50136"/>
    <w:rsid w:val="00E50311"/>
    <w:rsid w:val="00E505E6"/>
    <w:rsid w:val="00E507A3"/>
    <w:rsid w:val="00E50888"/>
    <w:rsid w:val="00E50B7D"/>
    <w:rsid w:val="00E50D7D"/>
    <w:rsid w:val="00E51842"/>
    <w:rsid w:val="00E51EC0"/>
    <w:rsid w:val="00E52077"/>
    <w:rsid w:val="00E528FC"/>
    <w:rsid w:val="00E529A6"/>
    <w:rsid w:val="00E530F6"/>
    <w:rsid w:val="00E5322F"/>
    <w:rsid w:val="00E53348"/>
    <w:rsid w:val="00E53550"/>
    <w:rsid w:val="00E53611"/>
    <w:rsid w:val="00E53CB4"/>
    <w:rsid w:val="00E53D8A"/>
    <w:rsid w:val="00E53DF4"/>
    <w:rsid w:val="00E54286"/>
    <w:rsid w:val="00E546F7"/>
    <w:rsid w:val="00E54931"/>
    <w:rsid w:val="00E54D2D"/>
    <w:rsid w:val="00E54DB7"/>
    <w:rsid w:val="00E55246"/>
    <w:rsid w:val="00E555BA"/>
    <w:rsid w:val="00E55B4A"/>
    <w:rsid w:val="00E55CC1"/>
    <w:rsid w:val="00E55D0D"/>
    <w:rsid w:val="00E55F0C"/>
    <w:rsid w:val="00E56282"/>
    <w:rsid w:val="00E565DB"/>
    <w:rsid w:val="00E57523"/>
    <w:rsid w:val="00E575C3"/>
    <w:rsid w:val="00E5779C"/>
    <w:rsid w:val="00E57A67"/>
    <w:rsid w:val="00E57B0B"/>
    <w:rsid w:val="00E604E5"/>
    <w:rsid w:val="00E6075B"/>
    <w:rsid w:val="00E60807"/>
    <w:rsid w:val="00E60AD3"/>
    <w:rsid w:val="00E6156B"/>
    <w:rsid w:val="00E61925"/>
    <w:rsid w:val="00E619E3"/>
    <w:rsid w:val="00E61B46"/>
    <w:rsid w:val="00E61C51"/>
    <w:rsid w:val="00E61D0A"/>
    <w:rsid w:val="00E61FB8"/>
    <w:rsid w:val="00E6243D"/>
    <w:rsid w:val="00E6298B"/>
    <w:rsid w:val="00E62EAC"/>
    <w:rsid w:val="00E62F8F"/>
    <w:rsid w:val="00E63B56"/>
    <w:rsid w:val="00E63CA7"/>
    <w:rsid w:val="00E63CFA"/>
    <w:rsid w:val="00E6422B"/>
    <w:rsid w:val="00E64234"/>
    <w:rsid w:val="00E64DE2"/>
    <w:rsid w:val="00E654D0"/>
    <w:rsid w:val="00E6557C"/>
    <w:rsid w:val="00E65F9A"/>
    <w:rsid w:val="00E66255"/>
    <w:rsid w:val="00E663EE"/>
    <w:rsid w:val="00E672BE"/>
    <w:rsid w:val="00E67712"/>
    <w:rsid w:val="00E67768"/>
    <w:rsid w:val="00E67AFE"/>
    <w:rsid w:val="00E7005B"/>
    <w:rsid w:val="00E70CE4"/>
    <w:rsid w:val="00E7109C"/>
    <w:rsid w:val="00E712CD"/>
    <w:rsid w:val="00E71DAE"/>
    <w:rsid w:val="00E71E4E"/>
    <w:rsid w:val="00E72237"/>
    <w:rsid w:val="00E7224E"/>
    <w:rsid w:val="00E722E5"/>
    <w:rsid w:val="00E7245B"/>
    <w:rsid w:val="00E7249B"/>
    <w:rsid w:val="00E7273D"/>
    <w:rsid w:val="00E72904"/>
    <w:rsid w:val="00E732D6"/>
    <w:rsid w:val="00E734DF"/>
    <w:rsid w:val="00E7352E"/>
    <w:rsid w:val="00E73758"/>
    <w:rsid w:val="00E738ED"/>
    <w:rsid w:val="00E73D89"/>
    <w:rsid w:val="00E73FBF"/>
    <w:rsid w:val="00E7401E"/>
    <w:rsid w:val="00E74279"/>
    <w:rsid w:val="00E7447A"/>
    <w:rsid w:val="00E744F5"/>
    <w:rsid w:val="00E7454F"/>
    <w:rsid w:val="00E7466E"/>
    <w:rsid w:val="00E74E06"/>
    <w:rsid w:val="00E75011"/>
    <w:rsid w:val="00E75172"/>
    <w:rsid w:val="00E752F5"/>
    <w:rsid w:val="00E754F8"/>
    <w:rsid w:val="00E755A0"/>
    <w:rsid w:val="00E75B67"/>
    <w:rsid w:val="00E75F66"/>
    <w:rsid w:val="00E764AC"/>
    <w:rsid w:val="00E7698A"/>
    <w:rsid w:val="00E76D18"/>
    <w:rsid w:val="00E7755E"/>
    <w:rsid w:val="00E800F4"/>
    <w:rsid w:val="00E8015E"/>
    <w:rsid w:val="00E80602"/>
    <w:rsid w:val="00E81B43"/>
    <w:rsid w:val="00E81F0C"/>
    <w:rsid w:val="00E821BA"/>
    <w:rsid w:val="00E8234F"/>
    <w:rsid w:val="00E8289F"/>
    <w:rsid w:val="00E829EE"/>
    <w:rsid w:val="00E82BE5"/>
    <w:rsid w:val="00E82D84"/>
    <w:rsid w:val="00E82E62"/>
    <w:rsid w:val="00E82F39"/>
    <w:rsid w:val="00E83BD0"/>
    <w:rsid w:val="00E8411E"/>
    <w:rsid w:val="00E84182"/>
    <w:rsid w:val="00E8444A"/>
    <w:rsid w:val="00E844CF"/>
    <w:rsid w:val="00E84883"/>
    <w:rsid w:val="00E85084"/>
    <w:rsid w:val="00E855F9"/>
    <w:rsid w:val="00E85660"/>
    <w:rsid w:val="00E857C4"/>
    <w:rsid w:val="00E8590E"/>
    <w:rsid w:val="00E85D99"/>
    <w:rsid w:val="00E85E44"/>
    <w:rsid w:val="00E86043"/>
    <w:rsid w:val="00E867AC"/>
    <w:rsid w:val="00E868C5"/>
    <w:rsid w:val="00E86B60"/>
    <w:rsid w:val="00E86C8A"/>
    <w:rsid w:val="00E8773D"/>
    <w:rsid w:val="00E90833"/>
    <w:rsid w:val="00E90850"/>
    <w:rsid w:val="00E90906"/>
    <w:rsid w:val="00E909A7"/>
    <w:rsid w:val="00E90B95"/>
    <w:rsid w:val="00E90BD2"/>
    <w:rsid w:val="00E91217"/>
    <w:rsid w:val="00E9190F"/>
    <w:rsid w:val="00E919BC"/>
    <w:rsid w:val="00E91AF5"/>
    <w:rsid w:val="00E91CA2"/>
    <w:rsid w:val="00E91FC9"/>
    <w:rsid w:val="00E92143"/>
    <w:rsid w:val="00E92291"/>
    <w:rsid w:val="00E9345F"/>
    <w:rsid w:val="00E93817"/>
    <w:rsid w:val="00E93833"/>
    <w:rsid w:val="00E93916"/>
    <w:rsid w:val="00E9436E"/>
    <w:rsid w:val="00E94402"/>
    <w:rsid w:val="00E9460C"/>
    <w:rsid w:val="00E94E72"/>
    <w:rsid w:val="00E95731"/>
    <w:rsid w:val="00E9602C"/>
    <w:rsid w:val="00E96582"/>
    <w:rsid w:val="00E974BE"/>
    <w:rsid w:val="00E97B69"/>
    <w:rsid w:val="00EA0235"/>
    <w:rsid w:val="00EA04BD"/>
    <w:rsid w:val="00EA08B1"/>
    <w:rsid w:val="00EA0A2B"/>
    <w:rsid w:val="00EA0B2D"/>
    <w:rsid w:val="00EA1154"/>
    <w:rsid w:val="00EA137D"/>
    <w:rsid w:val="00EA1401"/>
    <w:rsid w:val="00EA1784"/>
    <w:rsid w:val="00EA1C36"/>
    <w:rsid w:val="00EA1C73"/>
    <w:rsid w:val="00EA1FD1"/>
    <w:rsid w:val="00EA23BC"/>
    <w:rsid w:val="00EA24B5"/>
    <w:rsid w:val="00EA2CAA"/>
    <w:rsid w:val="00EA2D46"/>
    <w:rsid w:val="00EA2F03"/>
    <w:rsid w:val="00EA32EA"/>
    <w:rsid w:val="00EA34EC"/>
    <w:rsid w:val="00EA391E"/>
    <w:rsid w:val="00EA3CF3"/>
    <w:rsid w:val="00EA4233"/>
    <w:rsid w:val="00EA478C"/>
    <w:rsid w:val="00EA494A"/>
    <w:rsid w:val="00EA5805"/>
    <w:rsid w:val="00EA5A70"/>
    <w:rsid w:val="00EA5B63"/>
    <w:rsid w:val="00EA5C4C"/>
    <w:rsid w:val="00EA5F6B"/>
    <w:rsid w:val="00EA5FF6"/>
    <w:rsid w:val="00EA6067"/>
    <w:rsid w:val="00EA6ECE"/>
    <w:rsid w:val="00EA6EE7"/>
    <w:rsid w:val="00EA7235"/>
    <w:rsid w:val="00EA7AF2"/>
    <w:rsid w:val="00EA7BF7"/>
    <w:rsid w:val="00EAB800"/>
    <w:rsid w:val="00EB02E9"/>
    <w:rsid w:val="00EB0DC4"/>
    <w:rsid w:val="00EB0EF8"/>
    <w:rsid w:val="00EB132E"/>
    <w:rsid w:val="00EB1518"/>
    <w:rsid w:val="00EB17D4"/>
    <w:rsid w:val="00EB18BF"/>
    <w:rsid w:val="00EB1BC6"/>
    <w:rsid w:val="00EB1C38"/>
    <w:rsid w:val="00EB1C8D"/>
    <w:rsid w:val="00EB1DAE"/>
    <w:rsid w:val="00EB1E2D"/>
    <w:rsid w:val="00EB22EF"/>
    <w:rsid w:val="00EB2CA4"/>
    <w:rsid w:val="00EB32CF"/>
    <w:rsid w:val="00EB33A1"/>
    <w:rsid w:val="00EB37E2"/>
    <w:rsid w:val="00EB396D"/>
    <w:rsid w:val="00EB3DB5"/>
    <w:rsid w:val="00EB460B"/>
    <w:rsid w:val="00EB5701"/>
    <w:rsid w:val="00EB5DD5"/>
    <w:rsid w:val="00EB60B2"/>
    <w:rsid w:val="00EB6201"/>
    <w:rsid w:val="00EB62F3"/>
    <w:rsid w:val="00EB67A0"/>
    <w:rsid w:val="00EB6A0E"/>
    <w:rsid w:val="00EB6C7B"/>
    <w:rsid w:val="00EB77AF"/>
    <w:rsid w:val="00EB784C"/>
    <w:rsid w:val="00EB7B02"/>
    <w:rsid w:val="00EB7B04"/>
    <w:rsid w:val="00EB7C60"/>
    <w:rsid w:val="00EB7DF5"/>
    <w:rsid w:val="00EC0267"/>
    <w:rsid w:val="00EC02E5"/>
    <w:rsid w:val="00EC10B0"/>
    <w:rsid w:val="00EC137A"/>
    <w:rsid w:val="00EC13F4"/>
    <w:rsid w:val="00EC18EF"/>
    <w:rsid w:val="00EC1909"/>
    <w:rsid w:val="00EC1A42"/>
    <w:rsid w:val="00EC2D36"/>
    <w:rsid w:val="00EC2D70"/>
    <w:rsid w:val="00EC2F67"/>
    <w:rsid w:val="00EC2F7D"/>
    <w:rsid w:val="00EC32C1"/>
    <w:rsid w:val="00EC34C1"/>
    <w:rsid w:val="00EC35B9"/>
    <w:rsid w:val="00EC4202"/>
    <w:rsid w:val="00EC430E"/>
    <w:rsid w:val="00EC4D19"/>
    <w:rsid w:val="00EC520B"/>
    <w:rsid w:val="00EC539D"/>
    <w:rsid w:val="00EC541F"/>
    <w:rsid w:val="00EC60E0"/>
    <w:rsid w:val="00EC63BF"/>
    <w:rsid w:val="00EC6921"/>
    <w:rsid w:val="00EC6D00"/>
    <w:rsid w:val="00EC6ECD"/>
    <w:rsid w:val="00EC70B2"/>
    <w:rsid w:val="00EC7312"/>
    <w:rsid w:val="00EC753A"/>
    <w:rsid w:val="00EC776B"/>
    <w:rsid w:val="00EC7EA4"/>
    <w:rsid w:val="00EC7F9D"/>
    <w:rsid w:val="00ED070C"/>
    <w:rsid w:val="00ED07D6"/>
    <w:rsid w:val="00ED0858"/>
    <w:rsid w:val="00ED0B4D"/>
    <w:rsid w:val="00ED1896"/>
    <w:rsid w:val="00ED1897"/>
    <w:rsid w:val="00ED1C64"/>
    <w:rsid w:val="00ED203C"/>
    <w:rsid w:val="00ED236E"/>
    <w:rsid w:val="00ED2825"/>
    <w:rsid w:val="00ED3532"/>
    <w:rsid w:val="00ED3809"/>
    <w:rsid w:val="00ED3A4F"/>
    <w:rsid w:val="00ED3BC1"/>
    <w:rsid w:val="00ED3C37"/>
    <w:rsid w:val="00ED4CA0"/>
    <w:rsid w:val="00ED5AFD"/>
    <w:rsid w:val="00ED5E04"/>
    <w:rsid w:val="00ED6022"/>
    <w:rsid w:val="00ED6276"/>
    <w:rsid w:val="00ED6405"/>
    <w:rsid w:val="00ED6788"/>
    <w:rsid w:val="00ED67BC"/>
    <w:rsid w:val="00ED6E9F"/>
    <w:rsid w:val="00ED7A95"/>
    <w:rsid w:val="00EE02C8"/>
    <w:rsid w:val="00EE0905"/>
    <w:rsid w:val="00EE0E13"/>
    <w:rsid w:val="00EE11C9"/>
    <w:rsid w:val="00EE1548"/>
    <w:rsid w:val="00EE15DC"/>
    <w:rsid w:val="00EE1627"/>
    <w:rsid w:val="00EE176E"/>
    <w:rsid w:val="00EE1C0B"/>
    <w:rsid w:val="00EE1F4E"/>
    <w:rsid w:val="00EE253B"/>
    <w:rsid w:val="00EE2CB5"/>
    <w:rsid w:val="00EE3269"/>
    <w:rsid w:val="00EE3624"/>
    <w:rsid w:val="00EE366B"/>
    <w:rsid w:val="00EE385E"/>
    <w:rsid w:val="00EE3B50"/>
    <w:rsid w:val="00EE487D"/>
    <w:rsid w:val="00EE4EE7"/>
    <w:rsid w:val="00EE4F12"/>
    <w:rsid w:val="00EE522C"/>
    <w:rsid w:val="00EE53D9"/>
    <w:rsid w:val="00EE54FD"/>
    <w:rsid w:val="00EE57E0"/>
    <w:rsid w:val="00EE59BF"/>
    <w:rsid w:val="00EE59D1"/>
    <w:rsid w:val="00EE5B9E"/>
    <w:rsid w:val="00EE5C85"/>
    <w:rsid w:val="00EE63FD"/>
    <w:rsid w:val="00EE67B8"/>
    <w:rsid w:val="00EE6B7D"/>
    <w:rsid w:val="00EE6E36"/>
    <w:rsid w:val="00EE6F7F"/>
    <w:rsid w:val="00EE6F97"/>
    <w:rsid w:val="00EE7097"/>
    <w:rsid w:val="00EE730A"/>
    <w:rsid w:val="00EE7526"/>
    <w:rsid w:val="00EE75AF"/>
    <w:rsid w:val="00EF04B2"/>
    <w:rsid w:val="00EF119D"/>
    <w:rsid w:val="00EF1FD8"/>
    <w:rsid w:val="00EF2115"/>
    <w:rsid w:val="00EF2276"/>
    <w:rsid w:val="00EF268E"/>
    <w:rsid w:val="00EF2727"/>
    <w:rsid w:val="00EF2853"/>
    <w:rsid w:val="00EF3190"/>
    <w:rsid w:val="00EF3347"/>
    <w:rsid w:val="00EF357A"/>
    <w:rsid w:val="00EF36CA"/>
    <w:rsid w:val="00EF387B"/>
    <w:rsid w:val="00EF39A0"/>
    <w:rsid w:val="00EF39E6"/>
    <w:rsid w:val="00EF3F54"/>
    <w:rsid w:val="00EF42FF"/>
    <w:rsid w:val="00EF4612"/>
    <w:rsid w:val="00EF4A60"/>
    <w:rsid w:val="00EF4B02"/>
    <w:rsid w:val="00EF512E"/>
    <w:rsid w:val="00EF531C"/>
    <w:rsid w:val="00EF54D8"/>
    <w:rsid w:val="00EF5FAC"/>
    <w:rsid w:val="00EF6448"/>
    <w:rsid w:val="00EF6C34"/>
    <w:rsid w:val="00EF719F"/>
    <w:rsid w:val="00EF71AE"/>
    <w:rsid w:val="00EF7441"/>
    <w:rsid w:val="00EF7580"/>
    <w:rsid w:val="00EF7636"/>
    <w:rsid w:val="00F007CC"/>
    <w:rsid w:val="00F00938"/>
    <w:rsid w:val="00F00A4C"/>
    <w:rsid w:val="00F00CE4"/>
    <w:rsid w:val="00F0128F"/>
    <w:rsid w:val="00F01587"/>
    <w:rsid w:val="00F017DB"/>
    <w:rsid w:val="00F0184A"/>
    <w:rsid w:val="00F01CC9"/>
    <w:rsid w:val="00F01DE7"/>
    <w:rsid w:val="00F026C1"/>
    <w:rsid w:val="00F0279D"/>
    <w:rsid w:val="00F02EE1"/>
    <w:rsid w:val="00F038C2"/>
    <w:rsid w:val="00F03C18"/>
    <w:rsid w:val="00F03CB7"/>
    <w:rsid w:val="00F0406F"/>
    <w:rsid w:val="00F040D1"/>
    <w:rsid w:val="00F04555"/>
    <w:rsid w:val="00F04F24"/>
    <w:rsid w:val="00F05008"/>
    <w:rsid w:val="00F050AE"/>
    <w:rsid w:val="00F05882"/>
    <w:rsid w:val="00F05B93"/>
    <w:rsid w:val="00F05D64"/>
    <w:rsid w:val="00F05F7B"/>
    <w:rsid w:val="00F05FCA"/>
    <w:rsid w:val="00F06160"/>
    <w:rsid w:val="00F061A2"/>
    <w:rsid w:val="00F0684E"/>
    <w:rsid w:val="00F06C0E"/>
    <w:rsid w:val="00F06D55"/>
    <w:rsid w:val="00F06F7C"/>
    <w:rsid w:val="00F07028"/>
    <w:rsid w:val="00F07604"/>
    <w:rsid w:val="00F07F0C"/>
    <w:rsid w:val="00F10002"/>
    <w:rsid w:val="00F10055"/>
    <w:rsid w:val="00F11600"/>
    <w:rsid w:val="00F117C7"/>
    <w:rsid w:val="00F11BCE"/>
    <w:rsid w:val="00F12ECF"/>
    <w:rsid w:val="00F13013"/>
    <w:rsid w:val="00F132A8"/>
    <w:rsid w:val="00F13381"/>
    <w:rsid w:val="00F137AC"/>
    <w:rsid w:val="00F13847"/>
    <w:rsid w:val="00F13CB7"/>
    <w:rsid w:val="00F143DC"/>
    <w:rsid w:val="00F1468B"/>
    <w:rsid w:val="00F14757"/>
    <w:rsid w:val="00F14B1A"/>
    <w:rsid w:val="00F14C4E"/>
    <w:rsid w:val="00F15051"/>
    <w:rsid w:val="00F15534"/>
    <w:rsid w:val="00F15A42"/>
    <w:rsid w:val="00F167CC"/>
    <w:rsid w:val="00F16C77"/>
    <w:rsid w:val="00F16D43"/>
    <w:rsid w:val="00F171AB"/>
    <w:rsid w:val="00F174D5"/>
    <w:rsid w:val="00F1768B"/>
    <w:rsid w:val="00F17918"/>
    <w:rsid w:val="00F200C9"/>
    <w:rsid w:val="00F20150"/>
    <w:rsid w:val="00F205ED"/>
    <w:rsid w:val="00F206B1"/>
    <w:rsid w:val="00F20B00"/>
    <w:rsid w:val="00F20B37"/>
    <w:rsid w:val="00F20BCE"/>
    <w:rsid w:val="00F20BF2"/>
    <w:rsid w:val="00F20D1D"/>
    <w:rsid w:val="00F20DCC"/>
    <w:rsid w:val="00F210CE"/>
    <w:rsid w:val="00F214DA"/>
    <w:rsid w:val="00F21B89"/>
    <w:rsid w:val="00F22593"/>
    <w:rsid w:val="00F231D1"/>
    <w:rsid w:val="00F2331B"/>
    <w:rsid w:val="00F23785"/>
    <w:rsid w:val="00F239C2"/>
    <w:rsid w:val="00F23D5C"/>
    <w:rsid w:val="00F24389"/>
    <w:rsid w:val="00F244BA"/>
    <w:rsid w:val="00F2462E"/>
    <w:rsid w:val="00F248FC"/>
    <w:rsid w:val="00F24D06"/>
    <w:rsid w:val="00F24D2D"/>
    <w:rsid w:val="00F2550D"/>
    <w:rsid w:val="00F25675"/>
    <w:rsid w:val="00F256B2"/>
    <w:rsid w:val="00F2573E"/>
    <w:rsid w:val="00F258EE"/>
    <w:rsid w:val="00F25949"/>
    <w:rsid w:val="00F2631B"/>
    <w:rsid w:val="00F26EE3"/>
    <w:rsid w:val="00F2782B"/>
    <w:rsid w:val="00F27F9F"/>
    <w:rsid w:val="00F3012B"/>
    <w:rsid w:val="00F30949"/>
    <w:rsid w:val="00F30FA4"/>
    <w:rsid w:val="00F31416"/>
    <w:rsid w:val="00F315E5"/>
    <w:rsid w:val="00F31C7C"/>
    <w:rsid w:val="00F31D18"/>
    <w:rsid w:val="00F31FB1"/>
    <w:rsid w:val="00F324FA"/>
    <w:rsid w:val="00F326C4"/>
    <w:rsid w:val="00F32D4B"/>
    <w:rsid w:val="00F3313C"/>
    <w:rsid w:val="00F33279"/>
    <w:rsid w:val="00F333BD"/>
    <w:rsid w:val="00F336CB"/>
    <w:rsid w:val="00F339FD"/>
    <w:rsid w:val="00F343FE"/>
    <w:rsid w:val="00F34456"/>
    <w:rsid w:val="00F344E7"/>
    <w:rsid w:val="00F346B5"/>
    <w:rsid w:val="00F3521E"/>
    <w:rsid w:val="00F35235"/>
    <w:rsid w:val="00F356C9"/>
    <w:rsid w:val="00F3595D"/>
    <w:rsid w:val="00F35BB4"/>
    <w:rsid w:val="00F35D7C"/>
    <w:rsid w:val="00F362AC"/>
    <w:rsid w:val="00F36D1F"/>
    <w:rsid w:val="00F36ECB"/>
    <w:rsid w:val="00F37B5E"/>
    <w:rsid w:val="00F37C76"/>
    <w:rsid w:val="00F37CBF"/>
    <w:rsid w:val="00F4023C"/>
    <w:rsid w:val="00F402CB"/>
    <w:rsid w:val="00F40537"/>
    <w:rsid w:val="00F40956"/>
    <w:rsid w:val="00F40CEC"/>
    <w:rsid w:val="00F411FC"/>
    <w:rsid w:val="00F41447"/>
    <w:rsid w:val="00F41A0E"/>
    <w:rsid w:val="00F421BC"/>
    <w:rsid w:val="00F4259D"/>
    <w:rsid w:val="00F4295D"/>
    <w:rsid w:val="00F42E0B"/>
    <w:rsid w:val="00F433B5"/>
    <w:rsid w:val="00F4346C"/>
    <w:rsid w:val="00F43B77"/>
    <w:rsid w:val="00F43C52"/>
    <w:rsid w:val="00F445F4"/>
    <w:rsid w:val="00F45228"/>
    <w:rsid w:val="00F4540E"/>
    <w:rsid w:val="00F4561E"/>
    <w:rsid w:val="00F45D5B"/>
    <w:rsid w:val="00F46438"/>
    <w:rsid w:val="00F46592"/>
    <w:rsid w:val="00F466A2"/>
    <w:rsid w:val="00F46BDB"/>
    <w:rsid w:val="00F4734E"/>
    <w:rsid w:val="00F478D3"/>
    <w:rsid w:val="00F47EBE"/>
    <w:rsid w:val="00F47F58"/>
    <w:rsid w:val="00F5030E"/>
    <w:rsid w:val="00F50744"/>
    <w:rsid w:val="00F50955"/>
    <w:rsid w:val="00F50C1F"/>
    <w:rsid w:val="00F511BF"/>
    <w:rsid w:val="00F511DB"/>
    <w:rsid w:val="00F51373"/>
    <w:rsid w:val="00F514B4"/>
    <w:rsid w:val="00F51DB2"/>
    <w:rsid w:val="00F52374"/>
    <w:rsid w:val="00F52422"/>
    <w:rsid w:val="00F527DA"/>
    <w:rsid w:val="00F52EA7"/>
    <w:rsid w:val="00F534AD"/>
    <w:rsid w:val="00F53BBD"/>
    <w:rsid w:val="00F53CEF"/>
    <w:rsid w:val="00F540F5"/>
    <w:rsid w:val="00F5419E"/>
    <w:rsid w:val="00F54393"/>
    <w:rsid w:val="00F544FA"/>
    <w:rsid w:val="00F54610"/>
    <w:rsid w:val="00F54912"/>
    <w:rsid w:val="00F54980"/>
    <w:rsid w:val="00F549B8"/>
    <w:rsid w:val="00F54CDB"/>
    <w:rsid w:val="00F54F3F"/>
    <w:rsid w:val="00F54FB3"/>
    <w:rsid w:val="00F54FC6"/>
    <w:rsid w:val="00F55026"/>
    <w:rsid w:val="00F55254"/>
    <w:rsid w:val="00F55323"/>
    <w:rsid w:val="00F55921"/>
    <w:rsid w:val="00F56343"/>
    <w:rsid w:val="00F5642A"/>
    <w:rsid w:val="00F56C81"/>
    <w:rsid w:val="00F56DB1"/>
    <w:rsid w:val="00F57227"/>
    <w:rsid w:val="00F576B1"/>
    <w:rsid w:val="00F57801"/>
    <w:rsid w:val="00F57C85"/>
    <w:rsid w:val="00F57CA3"/>
    <w:rsid w:val="00F57CCC"/>
    <w:rsid w:val="00F6074B"/>
    <w:rsid w:val="00F60829"/>
    <w:rsid w:val="00F60C4C"/>
    <w:rsid w:val="00F60E77"/>
    <w:rsid w:val="00F610BC"/>
    <w:rsid w:val="00F61160"/>
    <w:rsid w:val="00F61D28"/>
    <w:rsid w:val="00F61E42"/>
    <w:rsid w:val="00F6315D"/>
    <w:rsid w:val="00F63438"/>
    <w:rsid w:val="00F64000"/>
    <w:rsid w:val="00F64486"/>
    <w:rsid w:val="00F644B7"/>
    <w:rsid w:val="00F64683"/>
    <w:rsid w:val="00F646D1"/>
    <w:rsid w:val="00F64FEE"/>
    <w:rsid w:val="00F65120"/>
    <w:rsid w:val="00F65401"/>
    <w:rsid w:val="00F65BFB"/>
    <w:rsid w:val="00F65D46"/>
    <w:rsid w:val="00F65E50"/>
    <w:rsid w:val="00F65F65"/>
    <w:rsid w:val="00F6692E"/>
    <w:rsid w:val="00F66A09"/>
    <w:rsid w:val="00F67002"/>
    <w:rsid w:val="00F671E6"/>
    <w:rsid w:val="00F67579"/>
    <w:rsid w:val="00F67683"/>
    <w:rsid w:val="00F678BF"/>
    <w:rsid w:val="00F67FBA"/>
    <w:rsid w:val="00F70441"/>
    <w:rsid w:val="00F70B44"/>
    <w:rsid w:val="00F70B49"/>
    <w:rsid w:val="00F70BDC"/>
    <w:rsid w:val="00F71274"/>
    <w:rsid w:val="00F71664"/>
    <w:rsid w:val="00F724C2"/>
    <w:rsid w:val="00F725CD"/>
    <w:rsid w:val="00F72978"/>
    <w:rsid w:val="00F72D4A"/>
    <w:rsid w:val="00F72DD0"/>
    <w:rsid w:val="00F732A1"/>
    <w:rsid w:val="00F73724"/>
    <w:rsid w:val="00F73CE4"/>
    <w:rsid w:val="00F73D0C"/>
    <w:rsid w:val="00F74020"/>
    <w:rsid w:val="00F74144"/>
    <w:rsid w:val="00F74993"/>
    <w:rsid w:val="00F74A0B"/>
    <w:rsid w:val="00F75238"/>
    <w:rsid w:val="00F75251"/>
    <w:rsid w:val="00F753E2"/>
    <w:rsid w:val="00F7552F"/>
    <w:rsid w:val="00F75B45"/>
    <w:rsid w:val="00F75E01"/>
    <w:rsid w:val="00F7626F"/>
    <w:rsid w:val="00F76900"/>
    <w:rsid w:val="00F76C30"/>
    <w:rsid w:val="00F772CE"/>
    <w:rsid w:val="00F77791"/>
    <w:rsid w:val="00F80016"/>
    <w:rsid w:val="00F8056B"/>
    <w:rsid w:val="00F8066A"/>
    <w:rsid w:val="00F80B68"/>
    <w:rsid w:val="00F80C90"/>
    <w:rsid w:val="00F80CB6"/>
    <w:rsid w:val="00F8102C"/>
    <w:rsid w:val="00F81057"/>
    <w:rsid w:val="00F8129E"/>
    <w:rsid w:val="00F816C4"/>
    <w:rsid w:val="00F81D00"/>
    <w:rsid w:val="00F820CE"/>
    <w:rsid w:val="00F821B0"/>
    <w:rsid w:val="00F82275"/>
    <w:rsid w:val="00F8283C"/>
    <w:rsid w:val="00F82FFC"/>
    <w:rsid w:val="00F831CE"/>
    <w:rsid w:val="00F831F9"/>
    <w:rsid w:val="00F8467B"/>
    <w:rsid w:val="00F856B4"/>
    <w:rsid w:val="00F8573B"/>
    <w:rsid w:val="00F862E1"/>
    <w:rsid w:val="00F8668F"/>
    <w:rsid w:val="00F86C40"/>
    <w:rsid w:val="00F86F43"/>
    <w:rsid w:val="00F87408"/>
    <w:rsid w:val="00F876EC"/>
    <w:rsid w:val="00F8798B"/>
    <w:rsid w:val="00F87CFC"/>
    <w:rsid w:val="00F87FD0"/>
    <w:rsid w:val="00F9004E"/>
    <w:rsid w:val="00F90132"/>
    <w:rsid w:val="00F90144"/>
    <w:rsid w:val="00F901E7"/>
    <w:rsid w:val="00F90245"/>
    <w:rsid w:val="00F902A8"/>
    <w:rsid w:val="00F90484"/>
    <w:rsid w:val="00F90C23"/>
    <w:rsid w:val="00F90EC9"/>
    <w:rsid w:val="00F90F1B"/>
    <w:rsid w:val="00F913CD"/>
    <w:rsid w:val="00F91436"/>
    <w:rsid w:val="00F91644"/>
    <w:rsid w:val="00F916F8"/>
    <w:rsid w:val="00F91733"/>
    <w:rsid w:val="00F91B09"/>
    <w:rsid w:val="00F91D59"/>
    <w:rsid w:val="00F91E9E"/>
    <w:rsid w:val="00F921A1"/>
    <w:rsid w:val="00F922EE"/>
    <w:rsid w:val="00F92C7F"/>
    <w:rsid w:val="00F92EC6"/>
    <w:rsid w:val="00F930A1"/>
    <w:rsid w:val="00F93926"/>
    <w:rsid w:val="00F93BBA"/>
    <w:rsid w:val="00F93F25"/>
    <w:rsid w:val="00F952DB"/>
    <w:rsid w:val="00F953DF"/>
    <w:rsid w:val="00F95669"/>
    <w:rsid w:val="00F95A32"/>
    <w:rsid w:val="00F95CBC"/>
    <w:rsid w:val="00F95DE1"/>
    <w:rsid w:val="00F966DB"/>
    <w:rsid w:val="00F970DD"/>
    <w:rsid w:val="00F9799D"/>
    <w:rsid w:val="00FA0198"/>
    <w:rsid w:val="00FA025B"/>
    <w:rsid w:val="00FA029B"/>
    <w:rsid w:val="00FA0414"/>
    <w:rsid w:val="00FA047F"/>
    <w:rsid w:val="00FA04C4"/>
    <w:rsid w:val="00FA0512"/>
    <w:rsid w:val="00FA053F"/>
    <w:rsid w:val="00FA0853"/>
    <w:rsid w:val="00FA1515"/>
    <w:rsid w:val="00FA16A8"/>
    <w:rsid w:val="00FA1ECA"/>
    <w:rsid w:val="00FA21C0"/>
    <w:rsid w:val="00FA23A3"/>
    <w:rsid w:val="00FA2528"/>
    <w:rsid w:val="00FA2582"/>
    <w:rsid w:val="00FA299F"/>
    <w:rsid w:val="00FA3132"/>
    <w:rsid w:val="00FA32B6"/>
    <w:rsid w:val="00FA3343"/>
    <w:rsid w:val="00FA3546"/>
    <w:rsid w:val="00FA3680"/>
    <w:rsid w:val="00FA384E"/>
    <w:rsid w:val="00FA3C79"/>
    <w:rsid w:val="00FA40A9"/>
    <w:rsid w:val="00FA4177"/>
    <w:rsid w:val="00FA4306"/>
    <w:rsid w:val="00FA4440"/>
    <w:rsid w:val="00FA4926"/>
    <w:rsid w:val="00FA4971"/>
    <w:rsid w:val="00FA4A84"/>
    <w:rsid w:val="00FA5A25"/>
    <w:rsid w:val="00FA5B3D"/>
    <w:rsid w:val="00FA5DA8"/>
    <w:rsid w:val="00FA5FE7"/>
    <w:rsid w:val="00FA616F"/>
    <w:rsid w:val="00FA68BE"/>
    <w:rsid w:val="00FA6976"/>
    <w:rsid w:val="00FA6A2F"/>
    <w:rsid w:val="00FA6FB4"/>
    <w:rsid w:val="00FA7102"/>
    <w:rsid w:val="00FA744F"/>
    <w:rsid w:val="00FA7A94"/>
    <w:rsid w:val="00FB0159"/>
    <w:rsid w:val="00FB043C"/>
    <w:rsid w:val="00FB0502"/>
    <w:rsid w:val="00FB0604"/>
    <w:rsid w:val="00FB066C"/>
    <w:rsid w:val="00FB0C5B"/>
    <w:rsid w:val="00FB1ECF"/>
    <w:rsid w:val="00FB2165"/>
    <w:rsid w:val="00FB24F2"/>
    <w:rsid w:val="00FB2DBE"/>
    <w:rsid w:val="00FB3652"/>
    <w:rsid w:val="00FB3FBE"/>
    <w:rsid w:val="00FB41D1"/>
    <w:rsid w:val="00FB43C6"/>
    <w:rsid w:val="00FB4AEA"/>
    <w:rsid w:val="00FB4B26"/>
    <w:rsid w:val="00FB53E7"/>
    <w:rsid w:val="00FB5A21"/>
    <w:rsid w:val="00FB5AAF"/>
    <w:rsid w:val="00FB5ACC"/>
    <w:rsid w:val="00FB5BE7"/>
    <w:rsid w:val="00FB5C2A"/>
    <w:rsid w:val="00FB621C"/>
    <w:rsid w:val="00FB653E"/>
    <w:rsid w:val="00FB65B2"/>
    <w:rsid w:val="00FB6991"/>
    <w:rsid w:val="00FB69A7"/>
    <w:rsid w:val="00FB6D19"/>
    <w:rsid w:val="00FB706D"/>
    <w:rsid w:val="00FB7471"/>
    <w:rsid w:val="00FB76BC"/>
    <w:rsid w:val="00FBC699"/>
    <w:rsid w:val="00FC0584"/>
    <w:rsid w:val="00FC1F36"/>
    <w:rsid w:val="00FC223B"/>
    <w:rsid w:val="00FC24D4"/>
    <w:rsid w:val="00FC2DD3"/>
    <w:rsid w:val="00FC34C3"/>
    <w:rsid w:val="00FC3813"/>
    <w:rsid w:val="00FC389E"/>
    <w:rsid w:val="00FC3AE7"/>
    <w:rsid w:val="00FC3C84"/>
    <w:rsid w:val="00FC4067"/>
    <w:rsid w:val="00FC43DE"/>
    <w:rsid w:val="00FC4869"/>
    <w:rsid w:val="00FC4C14"/>
    <w:rsid w:val="00FC508B"/>
    <w:rsid w:val="00FC54B5"/>
    <w:rsid w:val="00FC5690"/>
    <w:rsid w:val="00FC5CCA"/>
    <w:rsid w:val="00FC60B3"/>
    <w:rsid w:val="00FC61D0"/>
    <w:rsid w:val="00FC62DD"/>
    <w:rsid w:val="00FC6C9F"/>
    <w:rsid w:val="00FC7076"/>
    <w:rsid w:val="00FC71AC"/>
    <w:rsid w:val="00FC73EF"/>
    <w:rsid w:val="00FC7A68"/>
    <w:rsid w:val="00FC7DDD"/>
    <w:rsid w:val="00FC7F42"/>
    <w:rsid w:val="00FD03F4"/>
    <w:rsid w:val="00FD06E7"/>
    <w:rsid w:val="00FD1559"/>
    <w:rsid w:val="00FD16DF"/>
    <w:rsid w:val="00FD1BE0"/>
    <w:rsid w:val="00FD1D94"/>
    <w:rsid w:val="00FD22EE"/>
    <w:rsid w:val="00FD266D"/>
    <w:rsid w:val="00FD2688"/>
    <w:rsid w:val="00FD26E6"/>
    <w:rsid w:val="00FD2B9D"/>
    <w:rsid w:val="00FD2C11"/>
    <w:rsid w:val="00FD30F4"/>
    <w:rsid w:val="00FD3164"/>
    <w:rsid w:val="00FD3267"/>
    <w:rsid w:val="00FD3418"/>
    <w:rsid w:val="00FD35FC"/>
    <w:rsid w:val="00FD3860"/>
    <w:rsid w:val="00FD3E54"/>
    <w:rsid w:val="00FD42CC"/>
    <w:rsid w:val="00FD475F"/>
    <w:rsid w:val="00FD49D4"/>
    <w:rsid w:val="00FD4C75"/>
    <w:rsid w:val="00FD4CB5"/>
    <w:rsid w:val="00FD4D1B"/>
    <w:rsid w:val="00FD5EEE"/>
    <w:rsid w:val="00FD6074"/>
    <w:rsid w:val="00FD6306"/>
    <w:rsid w:val="00FD634E"/>
    <w:rsid w:val="00FD6843"/>
    <w:rsid w:val="00FD6F82"/>
    <w:rsid w:val="00FD7144"/>
    <w:rsid w:val="00FD73CA"/>
    <w:rsid w:val="00FE00BA"/>
    <w:rsid w:val="00FE0E6A"/>
    <w:rsid w:val="00FE163B"/>
    <w:rsid w:val="00FE23DF"/>
    <w:rsid w:val="00FE2551"/>
    <w:rsid w:val="00FE2791"/>
    <w:rsid w:val="00FE2981"/>
    <w:rsid w:val="00FE2B35"/>
    <w:rsid w:val="00FE3013"/>
    <w:rsid w:val="00FE3187"/>
    <w:rsid w:val="00FE324F"/>
    <w:rsid w:val="00FE39A8"/>
    <w:rsid w:val="00FE3AEA"/>
    <w:rsid w:val="00FE3CCC"/>
    <w:rsid w:val="00FE446F"/>
    <w:rsid w:val="00FE4983"/>
    <w:rsid w:val="00FE4A0E"/>
    <w:rsid w:val="00FE4B6C"/>
    <w:rsid w:val="00FE4DDD"/>
    <w:rsid w:val="00FE4FC7"/>
    <w:rsid w:val="00FE4FE3"/>
    <w:rsid w:val="00FE57B9"/>
    <w:rsid w:val="00FE57CB"/>
    <w:rsid w:val="00FE5BE6"/>
    <w:rsid w:val="00FE5D32"/>
    <w:rsid w:val="00FE5E6D"/>
    <w:rsid w:val="00FE617B"/>
    <w:rsid w:val="00FE717A"/>
    <w:rsid w:val="00FE7ED1"/>
    <w:rsid w:val="00FF012F"/>
    <w:rsid w:val="00FF07D6"/>
    <w:rsid w:val="00FF0A76"/>
    <w:rsid w:val="00FF0F6B"/>
    <w:rsid w:val="00FF11F8"/>
    <w:rsid w:val="00FF131D"/>
    <w:rsid w:val="00FF1689"/>
    <w:rsid w:val="00FF19F7"/>
    <w:rsid w:val="00FF2544"/>
    <w:rsid w:val="00FF2569"/>
    <w:rsid w:val="00FF2632"/>
    <w:rsid w:val="00FF2760"/>
    <w:rsid w:val="00FF2965"/>
    <w:rsid w:val="00FF2AE7"/>
    <w:rsid w:val="00FF34A8"/>
    <w:rsid w:val="00FF3C48"/>
    <w:rsid w:val="00FF3F6A"/>
    <w:rsid w:val="00FF41DF"/>
    <w:rsid w:val="00FF43C9"/>
    <w:rsid w:val="00FF47C8"/>
    <w:rsid w:val="00FF50C7"/>
    <w:rsid w:val="00FF533A"/>
    <w:rsid w:val="00FF5741"/>
    <w:rsid w:val="00FF57F0"/>
    <w:rsid w:val="00FF674C"/>
    <w:rsid w:val="00FF6A13"/>
    <w:rsid w:val="00FF6B20"/>
    <w:rsid w:val="00FF6C0C"/>
    <w:rsid w:val="00FF6EC6"/>
    <w:rsid w:val="00FF6FF4"/>
    <w:rsid w:val="00FF7854"/>
    <w:rsid w:val="01075B84"/>
    <w:rsid w:val="0109D3AF"/>
    <w:rsid w:val="0123803C"/>
    <w:rsid w:val="013C433B"/>
    <w:rsid w:val="01576422"/>
    <w:rsid w:val="0171BFB7"/>
    <w:rsid w:val="017663C6"/>
    <w:rsid w:val="018AEC75"/>
    <w:rsid w:val="01AB9ACA"/>
    <w:rsid w:val="01CD1AE0"/>
    <w:rsid w:val="01DC955D"/>
    <w:rsid w:val="01EAB235"/>
    <w:rsid w:val="01EADEDC"/>
    <w:rsid w:val="01F270DB"/>
    <w:rsid w:val="025A0D6D"/>
    <w:rsid w:val="0281B447"/>
    <w:rsid w:val="02937DAB"/>
    <w:rsid w:val="02A93894"/>
    <w:rsid w:val="02D56EE6"/>
    <w:rsid w:val="02D61058"/>
    <w:rsid w:val="02DDC0A9"/>
    <w:rsid w:val="02F73261"/>
    <w:rsid w:val="0306E4A5"/>
    <w:rsid w:val="030CECC5"/>
    <w:rsid w:val="0321A0BE"/>
    <w:rsid w:val="032F2BB2"/>
    <w:rsid w:val="033154FB"/>
    <w:rsid w:val="0342E48D"/>
    <w:rsid w:val="03557757"/>
    <w:rsid w:val="035FFA99"/>
    <w:rsid w:val="03742EC3"/>
    <w:rsid w:val="0389DEAE"/>
    <w:rsid w:val="038D11CF"/>
    <w:rsid w:val="03A1FEC4"/>
    <w:rsid w:val="03A58D1F"/>
    <w:rsid w:val="03A7C138"/>
    <w:rsid w:val="03BE7F9F"/>
    <w:rsid w:val="03C639C4"/>
    <w:rsid w:val="03C7361E"/>
    <w:rsid w:val="040658A5"/>
    <w:rsid w:val="04156FBB"/>
    <w:rsid w:val="041F692A"/>
    <w:rsid w:val="0424C6D0"/>
    <w:rsid w:val="04331C14"/>
    <w:rsid w:val="0434FFEC"/>
    <w:rsid w:val="0445EF25"/>
    <w:rsid w:val="0454F9C3"/>
    <w:rsid w:val="045B72AC"/>
    <w:rsid w:val="0467C964"/>
    <w:rsid w:val="0481C5E3"/>
    <w:rsid w:val="0481C7C3"/>
    <w:rsid w:val="048EE722"/>
    <w:rsid w:val="04A84D9C"/>
    <w:rsid w:val="04BD1E37"/>
    <w:rsid w:val="04D37D5A"/>
    <w:rsid w:val="04DCF202"/>
    <w:rsid w:val="04DDA85F"/>
    <w:rsid w:val="04E54049"/>
    <w:rsid w:val="0524E039"/>
    <w:rsid w:val="0561E376"/>
    <w:rsid w:val="059C14C3"/>
    <w:rsid w:val="05C6062B"/>
    <w:rsid w:val="05CEA6CC"/>
    <w:rsid w:val="05D09964"/>
    <w:rsid w:val="05F08510"/>
    <w:rsid w:val="05F617BC"/>
    <w:rsid w:val="0632E980"/>
    <w:rsid w:val="063B5244"/>
    <w:rsid w:val="0642B288"/>
    <w:rsid w:val="064D42F9"/>
    <w:rsid w:val="064EC865"/>
    <w:rsid w:val="0664876C"/>
    <w:rsid w:val="0665AE8B"/>
    <w:rsid w:val="06712AA5"/>
    <w:rsid w:val="0690DE43"/>
    <w:rsid w:val="069B79A2"/>
    <w:rsid w:val="06A0D00B"/>
    <w:rsid w:val="06AED0DB"/>
    <w:rsid w:val="06BB7733"/>
    <w:rsid w:val="06BBB885"/>
    <w:rsid w:val="06C21A55"/>
    <w:rsid w:val="06CF3F73"/>
    <w:rsid w:val="06E28926"/>
    <w:rsid w:val="06F116C1"/>
    <w:rsid w:val="06F12E0A"/>
    <w:rsid w:val="071042D2"/>
    <w:rsid w:val="073D8A86"/>
    <w:rsid w:val="07429BA6"/>
    <w:rsid w:val="0749B845"/>
    <w:rsid w:val="0750A91B"/>
    <w:rsid w:val="075612F9"/>
    <w:rsid w:val="0763B40E"/>
    <w:rsid w:val="07A7ABA9"/>
    <w:rsid w:val="07AFE36A"/>
    <w:rsid w:val="07B3E35F"/>
    <w:rsid w:val="07B40F0C"/>
    <w:rsid w:val="07B94CB7"/>
    <w:rsid w:val="07C02621"/>
    <w:rsid w:val="07C29FA9"/>
    <w:rsid w:val="07C368CD"/>
    <w:rsid w:val="07C4E18F"/>
    <w:rsid w:val="07CEEDE5"/>
    <w:rsid w:val="07D1C172"/>
    <w:rsid w:val="07D54726"/>
    <w:rsid w:val="07DEF858"/>
    <w:rsid w:val="07FC8C7D"/>
    <w:rsid w:val="08101FC5"/>
    <w:rsid w:val="08173DD8"/>
    <w:rsid w:val="08302903"/>
    <w:rsid w:val="086D8540"/>
    <w:rsid w:val="087BF3F1"/>
    <w:rsid w:val="08A67951"/>
    <w:rsid w:val="08C16689"/>
    <w:rsid w:val="08C3664B"/>
    <w:rsid w:val="08D7174F"/>
    <w:rsid w:val="08D7840F"/>
    <w:rsid w:val="08E7FDEC"/>
    <w:rsid w:val="08F0BA14"/>
    <w:rsid w:val="08FC345C"/>
    <w:rsid w:val="09001B0E"/>
    <w:rsid w:val="09046665"/>
    <w:rsid w:val="0923BF2B"/>
    <w:rsid w:val="0923C3DA"/>
    <w:rsid w:val="092D9F9E"/>
    <w:rsid w:val="09493ABB"/>
    <w:rsid w:val="0957B369"/>
    <w:rsid w:val="0958BB84"/>
    <w:rsid w:val="097212E0"/>
    <w:rsid w:val="0979B07D"/>
    <w:rsid w:val="097CC636"/>
    <w:rsid w:val="097FCB4B"/>
    <w:rsid w:val="0997DB26"/>
    <w:rsid w:val="09A35721"/>
    <w:rsid w:val="09A387FE"/>
    <w:rsid w:val="09A4620C"/>
    <w:rsid w:val="09A4F33A"/>
    <w:rsid w:val="09C668A5"/>
    <w:rsid w:val="09CBD9BC"/>
    <w:rsid w:val="09D17D2A"/>
    <w:rsid w:val="09EE316D"/>
    <w:rsid w:val="0A04AB08"/>
    <w:rsid w:val="0A169429"/>
    <w:rsid w:val="0A1E76E5"/>
    <w:rsid w:val="0A4517BA"/>
    <w:rsid w:val="0A49CD21"/>
    <w:rsid w:val="0A52596E"/>
    <w:rsid w:val="0A7EA1A0"/>
    <w:rsid w:val="0A826CF4"/>
    <w:rsid w:val="0A9905F4"/>
    <w:rsid w:val="0A9AFC03"/>
    <w:rsid w:val="0AADB63C"/>
    <w:rsid w:val="0B422C4E"/>
    <w:rsid w:val="0B624116"/>
    <w:rsid w:val="0B638CAE"/>
    <w:rsid w:val="0B65B81D"/>
    <w:rsid w:val="0B729203"/>
    <w:rsid w:val="0B78AEA0"/>
    <w:rsid w:val="0B9217E0"/>
    <w:rsid w:val="0B9F031A"/>
    <w:rsid w:val="0BD41208"/>
    <w:rsid w:val="0BF4F77B"/>
    <w:rsid w:val="0C29B504"/>
    <w:rsid w:val="0C2FE966"/>
    <w:rsid w:val="0C3BEFAD"/>
    <w:rsid w:val="0C43854C"/>
    <w:rsid w:val="0C47232D"/>
    <w:rsid w:val="0C5055AE"/>
    <w:rsid w:val="0C597236"/>
    <w:rsid w:val="0C6780EA"/>
    <w:rsid w:val="0C94B668"/>
    <w:rsid w:val="0CAAEBF8"/>
    <w:rsid w:val="0CB507F7"/>
    <w:rsid w:val="0CC52B9E"/>
    <w:rsid w:val="0CE50583"/>
    <w:rsid w:val="0CEE5B25"/>
    <w:rsid w:val="0CEF8977"/>
    <w:rsid w:val="0D06EB5C"/>
    <w:rsid w:val="0D28BEE1"/>
    <w:rsid w:val="0D315C7D"/>
    <w:rsid w:val="0D363822"/>
    <w:rsid w:val="0D3A23AD"/>
    <w:rsid w:val="0D3B42C5"/>
    <w:rsid w:val="0D51FC96"/>
    <w:rsid w:val="0D6E7511"/>
    <w:rsid w:val="0D772CFE"/>
    <w:rsid w:val="0D7C4D04"/>
    <w:rsid w:val="0D83F836"/>
    <w:rsid w:val="0D97F628"/>
    <w:rsid w:val="0DCE1C30"/>
    <w:rsid w:val="0DF98499"/>
    <w:rsid w:val="0E10A91C"/>
    <w:rsid w:val="0E2B21E7"/>
    <w:rsid w:val="0E35095D"/>
    <w:rsid w:val="0E3A3A32"/>
    <w:rsid w:val="0E3FE4EE"/>
    <w:rsid w:val="0E5F581E"/>
    <w:rsid w:val="0E9E5497"/>
    <w:rsid w:val="0EC1CA22"/>
    <w:rsid w:val="0EDE0AA4"/>
    <w:rsid w:val="0EE61A25"/>
    <w:rsid w:val="0EE83630"/>
    <w:rsid w:val="0EF67F05"/>
    <w:rsid w:val="0F050131"/>
    <w:rsid w:val="0F0A657D"/>
    <w:rsid w:val="0F24A1D9"/>
    <w:rsid w:val="0F275CE8"/>
    <w:rsid w:val="0F30FA03"/>
    <w:rsid w:val="0F363BD4"/>
    <w:rsid w:val="0F6C813E"/>
    <w:rsid w:val="0F72BF5C"/>
    <w:rsid w:val="0F7812A6"/>
    <w:rsid w:val="0F93D188"/>
    <w:rsid w:val="0F9896C6"/>
    <w:rsid w:val="0FA4486D"/>
    <w:rsid w:val="0FA56F07"/>
    <w:rsid w:val="0FA8D412"/>
    <w:rsid w:val="0FB2AC40"/>
    <w:rsid w:val="0FBA52EF"/>
    <w:rsid w:val="0FD0DA9D"/>
    <w:rsid w:val="0FD54183"/>
    <w:rsid w:val="0FDC3020"/>
    <w:rsid w:val="0FDE41D7"/>
    <w:rsid w:val="0FF2025A"/>
    <w:rsid w:val="0FFF07C8"/>
    <w:rsid w:val="100A2897"/>
    <w:rsid w:val="1022FF7A"/>
    <w:rsid w:val="10253DD0"/>
    <w:rsid w:val="10782948"/>
    <w:rsid w:val="107B1D36"/>
    <w:rsid w:val="10989ACA"/>
    <w:rsid w:val="109A7883"/>
    <w:rsid w:val="10A87D0F"/>
    <w:rsid w:val="10AB86D9"/>
    <w:rsid w:val="10D29DEF"/>
    <w:rsid w:val="11126688"/>
    <w:rsid w:val="1128E7D9"/>
    <w:rsid w:val="11421CEC"/>
    <w:rsid w:val="116A59E1"/>
    <w:rsid w:val="1185E0A4"/>
    <w:rsid w:val="119E2C91"/>
    <w:rsid w:val="11A3F6F3"/>
    <w:rsid w:val="11BD6CF8"/>
    <w:rsid w:val="11DB74CF"/>
    <w:rsid w:val="11ED8CDA"/>
    <w:rsid w:val="1203A34B"/>
    <w:rsid w:val="1211396E"/>
    <w:rsid w:val="12150A1F"/>
    <w:rsid w:val="121B14A0"/>
    <w:rsid w:val="121B76BE"/>
    <w:rsid w:val="121D5CE0"/>
    <w:rsid w:val="121F574A"/>
    <w:rsid w:val="12314CDB"/>
    <w:rsid w:val="124D8EE7"/>
    <w:rsid w:val="12505B6E"/>
    <w:rsid w:val="1261DA21"/>
    <w:rsid w:val="126ABC22"/>
    <w:rsid w:val="127221FC"/>
    <w:rsid w:val="1289DD40"/>
    <w:rsid w:val="1290414C"/>
    <w:rsid w:val="129BAAB6"/>
    <w:rsid w:val="12AEEB71"/>
    <w:rsid w:val="12BAD4DC"/>
    <w:rsid w:val="12D26243"/>
    <w:rsid w:val="12E64320"/>
    <w:rsid w:val="12F2F58E"/>
    <w:rsid w:val="12F41C8E"/>
    <w:rsid w:val="12F8B240"/>
    <w:rsid w:val="13013CDC"/>
    <w:rsid w:val="1306B691"/>
    <w:rsid w:val="1309F523"/>
    <w:rsid w:val="1339A9EA"/>
    <w:rsid w:val="133BFBFB"/>
    <w:rsid w:val="1342B7BB"/>
    <w:rsid w:val="134CAF28"/>
    <w:rsid w:val="135ADA27"/>
    <w:rsid w:val="135D12E9"/>
    <w:rsid w:val="13727D23"/>
    <w:rsid w:val="137BDAF2"/>
    <w:rsid w:val="1384CB0F"/>
    <w:rsid w:val="139B1511"/>
    <w:rsid w:val="13C24653"/>
    <w:rsid w:val="13ED1EA3"/>
    <w:rsid w:val="14156EC7"/>
    <w:rsid w:val="141D1BFA"/>
    <w:rsid w:val="1421D3F7"/>
    <w:rsid w:val="14429E0E"/>
    <w:rsid w:val="1447F6DA"/>
    <w:rsid w:val="147D1A30"/>
    <w:rsid w:val="148580CC"/>
    <w:rsid w:val="1489DD0F"/>
    <w:rsid w:val="14BAD760"/>
    <w:rsid w:val="14DC5BF0"/>
    <w:rsid w:val="14E48C85"/>
    <w:rsid w:val="14E80DAA"/>
    <w:rsid w:val="14EAA376"/>
    <w:rsid w:val="14ED09E5"/>
    <w:rsid w:val="14F288E2"/>
    <w:rsid w:val="14FC3B7A"/>
    <w:rsid w:val="1513DF32"/>
    <w:rsid w:val="15142769"/>
    <w:rsid w:val="1518E293"/>
    <w:rsid w:val="153F71D3"/>
    <w:rsid w:val="15416D3B"/>
    <w:rsid w:val="158C27A8"/>
    <w:rsid w:val="159EFF8B"/>
    <w:rsid w:val="15A57054"/>
    <w:rsid w:val="15AB8626"/>
    <w:rsid w:val="15BEB160"/>
    <w:rsid w:val="15CC662A"/>
    <w:rsid w:val="1614C5B6"/>
    <w:rsid w:val="16159736"/>
    <w:rsid w:val="161751D3"/>
    <w:rsid w:val="162422A5"/>
    <w:rsid w:val="164148D8"/>
    <w:rsid w:val="166CC258"/>
    <w:rsid w:val="1682D40A"/>
    <w:rsid w:val="16987F28"/>
    <w:rsid w:val="16A5CBDB"/>
    <w:rsid w:val="16BC21F2"/>
    <w:rsid w:val="16BDC01A"/>
    <w:rsid w:val="16BE4B6C"/>
    <w:rsid w:val="16FA25F5"/>
    <w:rsid w:val="16FD6C8E"/>
    <w:rsid w:val="17075895"/>
    <w:rsid w:val="1719C84B"/>
    <w:rsid w:val="1728B0BF"/>
    <w:rsid w:val="172E6AC0"/>
    <w:rsid w:val="173C99B9"/>
    <w:rsid w:val="175C0011"/>
    <w:rsid w:val="177216C2"/>
    <w:rsid w:val="179BAF1F"/>
    <w:rsid w:val="17A6BE1C"/>
    <w:rsid w:val="17ACA048"/>
    <w:rsid w:val="17AF5F7F"/>
    <w:rsid w:val="17B40626"/>
    <w:rsid w:val="17C5A9E8"/>
    <w:rsid w:val="17C78106"/>
    <w:rsid w:val="17F8489E"/>
    <w:rsid w:val="17FC645B"/>
    <w:rsid w:val="1812BB98"/>
    <w:rsid w:val="1839947D"/>
    <w:rsid w:val="1846EB4B"/>
    <w:rsid w:val="186EC93D"/>
    <w:rsid w:val="187C03F1"/>
    <w:rsid w:val="1882443A"/>
    <w:rsid w:val="188558CB"/>
    <w:rsid w:val="188EAD88"/>
    <w:rsid w:val="18AF191C"/>
    <w:rsid w:val="18DC116F"/>
    <w:rsid w:val="19008BB8"/>
    <w:rsid w:val="191DA038"/>
    <w:rsid w:val="192BB688"/>
    <w:rsid w:val="192D9779"/>
    <w:rsid w:val="19547291"/>
    <w:rsid w:val="19564BDE"/>
    <w:rsid w:val="195DDD57"/>
    <w:rsid w:val="1971A294"/>
    <w:rsid w:val="1975C4E3"/>
    <w:rsid w:val="198382AE"/>
    <w:rsid w:val="1986E16E"/>
    <w:rsid w:val="199AF3C7"/>
    <w:rsid w:val="19A88BD6"/>
    <w:rsid w:val="19C41F04"/>
    <w:rsid w:val="19D62D91"/>
    <w:rsid w:val="19E83312"/>
    <w:rsid w:val="19F7F7DD"/>
    <w:rsid w:val="19F8D2B1"/>
    <w:rsid w:val="1A007FE9"/>
    <w:rsid w:val="1A0BB7F7"/>
    <w:rsid w:val="1A2BE778"/>
    <w:rsid w:val="1A528F41"/>
    <w:rsid w:val="1A55C293"/>
    <w:rsid w:val="1A922CD8"/>
    <w:rsid w:val="1AAF1541"/>
    <w:rsid w:val="1AB0F15B"/>
    <w:rsid w:val="1AC2D9AC"/>
    <w:rsid w:val="1ADDABA0"/>
    <w:rsid w:val="1ADF4DB6"/>
    <w:rsid w:val="1AE8B785"/>
    <w:rsid w:val="1B004375"/>
    <w:rsid w:val="1B29972A"/>
    <w:rsid w:val="1B2C16A6"/>
    <w:rsid w:val="1B3202DD"/>
    <w:rsid w:val="1B3C12C5"/>
    <w:rsid w:val="1B43F9BF"/>
    <w:rsid w:val="1B476922"/>
    <w:rsid w:val="1B640645"/>
    <w:rsid w:val="1B684073"/>
    <w:rsid w:val="1B926E75"/>
    <w:rsid w:val="1B928519"/>
    <w:rsid w:val="1B93B7E3"/>
    <w:rsid w:val="1B94A152"/>
    <w:rsid w:val="1BBE03B1"/>
    <w:rsid w:val="1BC99F87"/>
    <w:rsid w:val="1BDAD022"/>
    <w:rsid w:val="1BDAFE6B"/>
    <w:rsid w:val="1BFBBC14"/>
    <w:rsid w:val="1C0D41DC"/>
    <w:rsid w:val="1C18687D"/>
    <w:rsid w:val="1C1DE99F"/>
    <w:rsid w:val="1C520381"/>
    <w:rsid w:val="1C67C760"/>
    <w:rsid w:val="1C73FDB7"/>
    <w:rsid w:val="1CABF75E"/>
    <w:rsid w:val="1CC4B372"/>
    <w:rsid w:val="1CCB9A62"/>
    <w:rsid w:val="1CD5CEDF"/>
    <w:rsid w:val="1CDC1D74"/>
    <w:rsid w:val="1CDDF083"/>
    <w:rsid w:val="1CE2286E"/>
    <w:rsid w:val="1D0605B4"/>
    <w:rsid w:val="1D117C52"/>
    <w:rsid w:val="1D510DCD"/>
    <w:rsid w:val="1D6EF65D"/>
    <w:rsid w:val="1D7DDB02"/>
    <w:rsid w:val="1D7DF7E3"/>
    <w:rsid w:val="1DABC783"/>
    <w:rsid w:val="1DC278C6"/>
    <w:rsid w:val="1DC8668E"/>
    <w:rsid w:val="1DCD2808"/>
    <w:rsid w:val="1DD45404"/>
    <w:rsid w:val="1DEACC9D"/>
    <w:rsid w:val="1E05DB8A"/>
    <w:rsid w:val="1E06D824"/>
    <w:rsid w:val="1E0C26E5"/>
    <w:rsid w:val="1E1162FA"/>
    <w:rsid w:val="1E32E152"/>
    <w:rsid w:val="1E3C2031"/>
    <w:rsid w:val="1E78E8E6"/>
    <w:rsid w:val="1E827D92"/>
    <w:rsid w:val="1E9D51A9"/>
    <w:rsid w:val="1EB91815"/>
    <w:rsid w:val="1EC4A25B"/>
    <w:rsid w:val="1EC703A0"/>
    <w:rsid w:val="1EC90624"/>
    <w:rsid w:val="1ECC7CAB"/>
    <w:rsid w:val="1ED7A67D"/>
    <w:rsid w:val="1F230810"/>
    <w:rsid w:val="1F460624"/>
    <w:rsid w:val="1F4BBEB3"/>
    <w:rsid w:val="1F65610E"/>
    <w:rsid w:val="1F6A1E76"/>
    <w:rsid w:val="1F722D64"/>
    <w:rsid w:val="1F824B10"/>
    <w:rsid w:val="1FA3C970"/>
    <w:rsid w:val="1FB5DCF8"/>
    <w:rsid w:val="1FDF8575"/>
    <w:rsid w:val="1FE1A724"/>
    <w:rsid w:val="1FEC3159"/>
    <w:rsid w:val="1FEFCA71"/>
    <w:rsid w:val="200B70FD"/>
    <w:rsid w:val="20118FC8"/>
    <w:rsid w:val="2011D97B"/>
    <w:rsid w:val="201C4A7B"/>
    <w:rsid w:val="202724FD"/>
    <w:rsid w:val="205511D1"/>
    <w:rsid w:val="206CAF51"/>
    <w:rsid w:val="206D7806"/>
    <w:rsid w:val="2082446E"/>
    <w:rsid w:val="20CBDAA7"/>
    <w:rsid w:val="20DCB559"/>
    <w:rsid w:val="20FE7B7B"/>
    <w:rsid w:val="210729B0"/>
    <w:rsid w:val="2113A23F"/>
    <w:rsid w:val="21216133"/>
    <w:rsid w:val="21239575"/>
    <w:rsid w:val="21282E32"/>
    <w:rsid w:val="212FABE0"/>
    <w:rsid w:val="213398A2"/>
    <w:rsid w:val="2147A9C9"/>
    <w:rsid w:val="2161A29D"/>
    <w:rsid w:val="21643CB4"/>
    <w:rsid w:val="217F3FD6"/>
    <w:rsid w:val="21828715"/>
    <w:rsid w:val="218B3FA6"/>
    <w:rsid w:val="219A4150"/>
    <w:rsid w:val="21AF089B"/>
    <w:rsid w:val="21C70B8B"/>
    <w:rsid w:val="21C8357E"/>
    <w:rsid w:val="21D579DB"/>
    <w:rsid w:val="21E0D91A"/>
    <w:rsid w:val="21E78FFB"/>
    <w:rsid w:val="21F58319"/>
    <w:rsid w:val="22044419"/>
    <w:rsid w:val="22157805"/>
    <w:rsid w:val="2239EE53"/>
    <w:rsid w:val="224897C3"/>
    <w:rsid w:val="226CA71B"/>
    <w:rsid w:val="226FFB17"/>
    <w:rsid w:val="22BD5948"/>
    <w:rsid w:val="22CE5729"/>
    <w:rsid w:val="22CF711F"/>
    <w:rsid w:val="22ED66CD"/>
    <w:rsid w:val="22F72F6C"/>
    <w:rsid w:val="2301B2AE"/>
    <w:rsid w:val="231E0FAC"/>
    <w:rsid w:val="232E9AFE"/>
    <w:rsid w:val="233B9308"/>
    <w:rsid w:val="234A3567"/>
    <w:rsid w:val="236A3EB2"/>
    <w:rsid w:val="2370B159"/>
    <w:rsid w:val="23711D77"/>
    <w:rsid w:val="237C78DA"/>
    <w:rsid w:val="23862CAE"/>
    <w:rsid w:val="2389B3B2"/>
    <w:rsid w:val="24162C03"/>
    <w:rsid w:val="242F51D6"/>
    <w:rsid w:val="2432DCFC"/>
    <w:rsid w:val="2441C58A"/>
    <w:rsid w:val="245C2A33"/>
    <w:rsid w:val="246D1BB9"/>
    <w:rsid w:val="24889D13"/>
    <w:rsid w:val="24966934"/>
    <w:rsid w:val="24A066D1"/>
    <w:rsid w:val="24BA0104"/>
    <w:rsid w:val="24BF351F"/>
    <w:rsid w:val="24C08663"/>
    <w:rsid w:val="24C6E76D"/>
    <w:rsid w:val="250795E9"/>
    <w:rsid w:val="2536D3A6"/>
    <w:rsid w:val="25395D39"/>
    <w:rsid w:val="2547CC99"/>
    <w:rsid w:val="25481095"/>
    <w:rsid w:val="2551DB8C"/>
    <w:rsid w:val="2580581B"/>
    <w:rsid w:val="259306B4"/>
    <w:rsid w:val="25A5BB66"/>
    <w:rsid w:val="25AB045F"/>
    <w:rsid w:val="25B212B1"/>
    <w:rsid w:val="25B56F7E"/>
    <w:rsid w:val="25E094C3"/>
    <w:rsid w:val="25E4EAC6"/>
    <w:rsid w:val="25F161AC"/>
    <w:rsid w:val="2607C64A"/>
    <w:rsid w:val="260C4BCC"/>
    <w:rsid w:val="260E3954"/>
    <w:rsid w:val="26228513"/>
    <w:rsid w:val="263BE0B4"/>
    <w:rsid w:val="264FE78E"/>
    <w:rsid w:val="26586A0E"/>
    <w:rsid w:val="265DF109"/>
    <w:rsid w:val="26832E37"/>
    <w:rsid w:val="26AD75C7"/>
    <w:rsid w:val="26ADB5D7"/>
    <w:rsid w:val="26BE8179"/>
    <w:rsid w:val="26CBF69F"/>
    <w:rsid w:val="26CC748B"/>
    <w:rsid w:val="26D60E56"/>
    <w:rsid w:val="26F2B847"/>
    <w:rsid w:val="26F7DA2C"/>
    <w:rsid w:val="270197D7"/>
    <w:rsid w:val="2703E3CF"/>
    <w:rsid w:val="2706F579"/>
    <w:rsid w:val="270E9D47"/>
    <w:rsid w:val="272AE1CB"/>
    <w:rsid w:val="27303965"/>
    <w:rsid w:val="27438978"/>
    <w:rsid w:val="27559603"/>
    <w:rsid w:val="275A6804"/>
    <w:rsid w:val="275B8B3F"/>
    <w:rsid w:val="275DE374"/>
    <w:rsid w:val="2765A911"/>
    <w:rsid w:val="2771103D"/>
    <w:rsid w:val="2774468F"/>
    <w:rsid w:val="2775F26A"/>
    <w:rsid w:val="27762326"/>
    <w:rsid w:val="277E0FC3"/>
    <w:rsid w:val="279BE09E"/>
    <w:rsid w:val="279F1EC2"/>
    <w:rsid w:val="27ACFAEC"/>
    <w:rsid w:val="27B819DF"/>
    <w:rsid w:val="27B9139F"/>
    <w:rsid w:val="27E14ECF"/>
    <w:rsid w:val="27E8FB8A"/>
    <w:rsid w:val="27E91298"/>
    <w:rsid w:val="27F71EDB"/>
    <w:rsid w:val="27F78B7A"/>
    <w:rsid w:val="27FCD3E8"/>
    <w:rsid w:val="281F54BC"/>
    <w:rsid w:val="2832E0A2"/>
    <w:rsid w:val="2837F44B"/>
    <w:rsid w:val="284370AC"/>
    <w:rsid w:val="2850D1E2"/>
    <w:rsid w:val="2857C372"/>
    <w:rsid w:val="285D7EE4"/>
    <w:rsid w:val="287BAF3A"/>
    <w:rsid w:val="28AA454F"/>
    <w:rsid w:val="28B21154"/>
    <w:rsid w:val="28BDCEFD"/>
    <w:rsid w:val="28C5F20B"/>
    <w:rsid w:val="28EBA922"/>
    <w:rsid w:val="28FFDD48"/>
    <w:rsid w:val="291EB1CF"/>
    <w:rsid w:val="291FDDBE"/>
    <w:rsid w:val="2923D904"/>
    <w:rsid w:val="292DC42B"/>
    <w:rsid w:val="29353CC1"/>
    <w:rsid w:val="29383DD8"/>
    <w:rsid w:val="293CC503"/>
    <w:rsid w:val="295B3418"/>
    <w:rsid w:val="29608A8F"/>
    <w:rsid w:val="296466FB"/>
    <w:rsid w:val="297A3C00"/>
    <w:rsid w:val="298784C0"/>
    <w:rsid w:val="298CC800"/>
    <w:rsid w:val="299E41B8"/>
    <w:rsid w:val="29A1ED11"/>
    <w:rsid w:val="29AB9AB9"/>
    <w:rsid w:val="29AF7A13"/>
    <w:rsid w:val="29B0DD86"/>
    <w:rsid w:val="29B3A467"/>
    <w:rsid w:val="29C0085A"/>
    <w:rsid w:val="29C1EB2B"/>
    <w:rsid w:val="29CBE293"/>
    <w:rsid w:val="29CFCF21"/>
    <w:rsid w:val="29DB5CBA"/>
    <w:rsid w:val="29DB90B0"/>
    <w:rsid w:val="2A0EA2D1"/>
    <w:rsid w:val="2A313F52"/>
    <w:rsid w:val="2A319A35"/>
    <w:rsid w:val="2A3E25A8"/>
    <w:rsid w:val="2A583F0C"/>
    <w:rsid w:val="2A91DFE6"/>
    <w:rsid w:val="2A9F1DB9"/>
    <w:rsid w:val="2AE2AA0A"/>
    <w:rsid w:val="2B26F7F3"/>
    <w:rsid w:val="2B2F297D"/>
    <w:rsid w:val="2B34A850"/>
    <w:rsid w:val="2B36FFE3"/>
    <w:rsid w:val="2B39B9DC"/>
    <w:rsid w:val="2B3EA30C"/>
    <w:rsid w:val="2B422A57"/>
    <w:rsid w:val="2B64128B"/>
    <w:rsid w:val="2BB4A167"/>
    <w:rsid w:val="2BB63278"/>
    <w:rsid w:val="2BBB598D"/>
    <w:rsid w:val="2BE7BC62"/>
    <w:rsid w:val="2BFE7C71"/>
    <w:rsid w:val="2C03E698"/>
    <w:rsid w:val="2C098BDA"/>
    <w:rsid w:val="2C170193"/>
    <w:rsid w:val="2C2734AD"/>
    <w:rsid w:val="2C2EDD41"/>
    <w:rsid w:val="2C398536"/>
    <w:rsid w:val="2C468BF6"/>
    <w:rsid w:val="2C6A7E43"/>
    <w:rsid w:val="2C7763C2"/>
    <w:rsid w:val="2C800651"/>
    <w:rsid w:val="2C940B66"/>
    <w:rsid w:val="2C9AABF4"/>
    <w:rsid w:val="2CC81375"/>
    <w:rsid w:val="2CD22939"/>
    <w:rsid w:val="2CDB5512"/>
    <w:rsid w:val="2CEAFD30"/>
    <w:rsid w:val="2CEB448A"/>
    <w:rsid w:val="2CF51639"/>
    <w:rsid w:val="2CFAFCB6"/>
    <w:rsid w:val="2CFEA262"/>
    <w:rsid w:val="2D22E1A8"/>
    <w:rsid w:val="2D426642"/>
    <w:rsid w:val="2D469F04"/>
    <w:rsid w:val="2D523142"/>
    <w:rsid w:val="2D8F3430"/>
    <w:rsid w:val="2D921B65"/>
    <w:rsid w:val="2DAC312A"/>
    <w:rsid w:val="2DAF7C22"/>
    <w:rsid w:val="2DBE3190"/>
    <w:rsid w:val="2DCF3124"/>
    <w:rsid w:val="2DDAB0CD"/>
    <w:rsid w:val="2DF25BD3"/>
    <w:rsid w:val="2E0388C0"/>
    <w:rsid w:val="2E0CB4A7"/>
    <w:rsid w:val="2E2AC52B"/>
    <w:rsid w:val="2E2F2F2B"/>
    <w:rsid w:val="2E3C25C2"/>
    <w:rsid w:val="2E4942CB"/>
    <w:rsid w:val="2E562606"/>
    <w:rsid w:val="2E57486B"/>
    <w:rsid w:val="2E5A998B"/>
    <w:rsid w:val="2E7E7360"/>
    <w:rsid w:val="2EA82910"/>
    <w:rsid w:val="2EB032DA"/>
    <w:rsid w:val="2EB486D7"/>
    <w:rsid w:val="2ECACA43"/>
    <w:rsid w:val="2ECE6DE0"/>
    <w:rsid w:val="2ECF6FEB"/>
    <w:rsid w:val="2ED0FCAE"/>
    <w:rsid w:val="2EE1FF9B"/>
    <w:rsid w:val="2EE4C24B"/>
    <w:rsid w:val="2EE87681"/>
    <w:rsid w:val="2F00D7C4"/>
    <w:rsid w:val="2F59FE67"/>
    <w:rsid w:val="2F8D126F"/>
    <w:rsid w:val="2F8E3D98"/>
    <w:rsid w:val="2FA930F1"/>
    <w:rsid w:val="2FBF3B8C"/>
    <w:rsid w:val="2FC93371"/>
    <w:rsid w:val="2FD4F7F1"/>
    <w:rsid w:val="2FDAE3FB"/>
    <w:rsid w:val="2FFAFA67"/>
    <w:rsid w:val="300F3BCF"/>
    <w:rsid w:val="302FE5CC"/>
    <w:rsid w:val="3033A6F6"/>
    <w:rsid w:val="3040AED6"/>
    <w:rsid w:val="3043ED91"/>
    <w:rsid w:val="304C18E4"/>
    <w:rsid w:val="30515559"/>
    <w:rsid w:val="30631DDB"/>
    <w:rsid w:val="30669C5F"/>
    <w:rsid w:val="3082CAFB"/>
    <w:rsid w:val="309AF975"/>
    <w:rsid w:val="30A4B832"/>
    <w:rsid w:val="30D6A7FA"/>
    <w:rsid w:val="30D7E418"/>
    <w:rsid w:val="30F09C36"/>
    <w:rsid w:val="30FC7CDC"/>
    <w:rsid w:val="3104FB07"/>
    <w:rsid w:val="312F7DDF"/>
    <w:rsid w:val="31364BB7"/>
    <w:rsid w:val="313794FF"/>
    <w:rsid w:val="3143A3C4"/>
    <w:rsid w:val="314A9E6B"/>
    <w:rsid w:val="31530242"/>
    <w:rsid w:val="315723FF"/>
    <w:rsid w:val="31A36A79"/>
    <w:rsid w:val="31B7886E"/>
    <w:rsid w:val="31D9947B"/>
    <w:rsid w:val="31E26979"/>
    <w:rsid w:val="31E491BF"/>
    <w:rsid w:val="31E7EA3C"/>
    <w:rsid w:val="32017529"/>
    <w:rsid w:val="32608493"/>
    <w:rsid w:val="329A4974"/>
    <w:rsid w:val="32B22D78"/>
    <w:rsid w:val="32CB4F97"/>
    <w:rsid w:val="32ED9F1B"/>
    <w:rsid w:val="32F7936B"/>
    <w:rsid w:val="330AE1FC"/>
    <w:rsid w:val="3356948A"/>
    <w:rsid w:val="3371A1C3"/>
    <w:rsid w:val="337460DD"/>
    <w:rsid w:val="338A6159"/>
    <w:rsid w:val="339A2CB8"/>
    <w:rsid w:val="33AD943D"/>
    <w:rsid w:val="33BB6655"/>
    <w:rsid w:val="33C6189A"/>
    <w:rsid w:val="33E36BC3"/>
    <w:rsid w:val="33EF309D"/>
    <w:rsid w:val="33FDB700"/>
    <w:rsid w:val="3412293C"/>
    <w:rsid w:val="341970D3"/>
    <w:rsid w:val="3422D822"/>
    <w:rsid w:val="345B8A8C"/>
    <w:rsid w:val="34602B48"/>
    <w:rsid w:val="34740CC8"/>
    <w:rsid w:val="347432F8"/>
    <w:rsid w:val="348E2159"/>
    <w:rsid w:val="349033C8"/>
    <w:rsid w:val="34976263"/>
    <w:rsid w:val="349AB7E0"/>
    <w:rsid w:val="34B3ED04"/>
    <w:rsid w:val="34C0858C"/>
    <w:rsid w:val="34D8AB0F"/>
    <w:rsid w:val="34DEF2BF"/>
    <w:rsid w:val="34FC981F"/>
    <w:rsid w:val="3530A188"/>
    <w:rsid w:val="35317505"/>
    <w:rsid w:val="356DA9A9"/>
    <w:rsid w:val="3586A97A"/>
    <w:rsid w:val="358EAEF7"/>
    <w:rsid w:val="359C3A1E"/>
    <w:rsid w:val="35BD35D3"/>
    <w:rsid w:val="35D01737"/>
    <w:rsid w:val="35D82C02"/>
    <w:rsid w:val="35D8C75B"/>
    <w:rsid w:val="35DEDE5A"/>
    <w:rsid w:val="35DFBC03"/>
    <w:rsid w:val="35F2EFC9"/>
    <w:rsid w:val="35F4ED44"/>
    <w:rsid w:val="35F67BE3"/>
    <w:rsid w:val="361705BF"/>
    <w:rsid w:val="361F0D1C"/>
    <w:rsid w:val="36242074"/>
    <w:rsid w:val="3667336E"/>
    <w:rsid w:val="3668491F"/>
    <w:rsid w:val="366EFBE2"/>
    <w:rsid w:val="3689FC13"/>
    <w:rsid w:val="368A8D89"/>
    <w:rsid w:val="36A516D9"/>
    <w:rsid w:val="36A8D4C0"/>
    <w:rsid w:val="36CE38AD"/>
    <w:rsid w:val="36CF9E35"/>
    <w:rsid w:val="36DDE343"/>
    <w:rsid w:val="36E3A85F"/>
    <w:rsid w:val="36E7EEE5"/>
    <w:rsid w:val="36EB2EA0"/>
    <w:rsid w:val="373A89FD"/>
    <w:rsid w:val="3779B50A"/>
    <w:rsid w:val="37861DB3"/>
    <w:rsid w:val="378F8321"/>
    <w:rsid w:val="37925F42"/>
    <w:rsid w:val="37A1CC27"/>
    <w:rsid w:val="37AEF389"/>
    <w:rsid w:val="37BB4FC0"/>
    <w:rsid w:val="37EB179E"/>
    <w:rsid w:val="37ED71D6"/>
    <w:rsid w:val="37FF13EB"/>
    <w:rsid w:val="380A55E9"/>
    <w:rsid w:val="381670AE"/>
    <w:rsid w:val="381C195E"/>
    <w:rsid w:val="3826BB4C"/>
    <w:rsid w:val="382C4278"/>
    <w:rsid w:val="38448339"/>
    <w:rsid w:val="3856FBC7"/>
    <w:rsid w:val="38604892"/>
    <w:rsid w:val="386ED6BC"/>
    <w:rsid w:val="387AA2B1"/>
    <w:rsid w:val="387F6AE9"/>
    <w:rsid w:val="3886A57F"/>
    <w:rsid w:val="388A9344"/>
    <w:rsid w:val="38958D88"/>
    <w:rsid w:val="38AB1D28"/>
    <w:rsid w:val="38B42949"/>
    <w:rsid w:val="38DF2C66"/>
    <w:rsid w:val="38F99F0F"/>
    <w:rsid w:val="38FD30BB"/>
    <w:rsid w:val="38FE75D7"/>
    <w:rsid w:val="390F556E"/>
    <w:rsid w:val="39129E06"/>
    <w:rsid w:val="3912F730"/>
    <w:rsid w:val="3919AB2B"/>
    <w:rsid w:val="3924BADD"/>
    <w:rsid w:val="393037C3"/>
    <w:rsid w:val="3956C942"/>
    <w:rsid w:val="396A9D55"/>
    <w:rsid w:val="39886AEA"/>
    <w:rsid w:val="39A32A4F"/>
    <w:rsid w:val="39A68002"/>
    <w:rsid w:val="39AA17FB"/>
    <w:rsid w:val="39BB3DBD"/>
    <w:rsid w:val="39BBCF9D"/>
    <w:rsid w:val="39BEFFB7"/>
    <w:rsid w:val="39BF156B"/>
    <w:rsid w:val="39CE1D21"/>
    <w:rsid w:val="39D18B75"/>
    <w:rsid w:val="39DAEAE7"/>
    <w:rsid w:val="39F8A7E1"/>
    <w:rsid w:val="3A0C881D"/>
    <w:rsid w:val="3A1F554D"/>
    <w:rsid w:val="3A31B46A"/>
    <w:rsid w:val="3A36DE07"/>
    <w:rsid w:val="3A445257"/>
    <w:rsid w:val="3A4CB521"/>
    <w:rsid w:val="3A508E88"/>
    <w:rsid w:val="3A6A7729"/>
    <w:rsid w:val="3A70303F"/>
    <w:rsid w:val="3A8A47EB"/>
    <w:rsid w:val="3A8BC40A"/>
    <w:rsid w:val="3AA1E659"/>
    <w:rsid w:val="3AB22129"/>
    <w:rsid w:val="3AC5F1FB"/>
    <w:rsid w:val="3ACE4386"/>
    <w:rsid w:val="3AF7276C"/>
    <w:rsid w:val="3B0151DA"/>
    <w:rsid w:val="3B061FF1"/>
    <w:rsid w:val="3B262963"/>
    <w:rsid w:val="3B2D4185"/>
    <w:rsid w:val="3B8C0097"/>
    <w:rsid w:val="3BA86DFE"/>
    <w:rsid w:val="3BB42734"/>
    <w:rsid w:val="3BB4D497"/>
    <w:rsid w:val="3BC4FE92"/>
    <w:rsid w:val="3BCC2E8B"/>
    <w:rsid w:val="3BD0AED7"/>
    <w:rsid w:val="3BE7CE1A"/>
    <w:rsid w:val="3C201695"/>
    <w:rsid w:val="3C2DC3EB"/>
    <w:rsid w:val="3C2FBA91"/>
    <w:rsid w:val="3C312912"/>
    <w:rsid w:val="3C34D3EB"/>
    <w:rsid w:val="3C3EDE0D"/>
    <w:rsid w:val="3C7C024A"/>
    <w:rsid w:val="3C854130"/>
    <w:rsid w:val="3C8CD872"/>
    <w:rsid w:val="3CA3B59C"/>
    <w:rsid w:val="3CA4C02B"/>
    <w:rsid w:val="3CB8EE8E"/>
    <w:rsid w:val="3CB9A017"/>
    <w:rsid w:val="3CE37EB7"/>
    <w:rsid w:val="3CE66FCF"/>
    <w:rsid w:val="3CE8AE6A"/>
    <w:rsid w:val="3CE90977"/>
    <w:rsid w:val="3CEC4973"/>
    <w:rsid w:val="3CF39702"/>
    <w:rsid w:val="3CF82F99"/>
    <w:rsid w:val="3CFF3EF5"/>
    <w:rsid w:val="3D10DF50"/>
    <w:rsid w:val="3D2FA823"/>
    <w:rsid w:val="3D48743E"/>
    <w:rsid w:val="3D5F5020"/>
    <w:rsid w:val="3D66B9C6"/>
    <w:rsid w:val="3D708B59"/>
    <w:rsid w:val="3D899BCE"/>
    <w:rsid w:val="3DD0AA2B"/>
    <w:rsid w:val="3E06AEB8"/>
    <w:rsid w:val="3E0D005F"/>
    <w:rsid w:val="3E1F4424"/>
    <w:rsid w:val="3E58C5DC"/>
    <w:rsid w:val="3E5C10D8"/>
    <w:rsid w:val="3E75ED78"/>
    <w:rsid w:val="3E80889C"/>
    <w:rsid w:val="3E809C1E"/>
    <w:rsid w:val="3E9C7DB3"/>
    <w:rsid w:val="3E9D1878"/>
    <w:rsid w:val="3EAC55CF"/>
    <w:rsid w:val="3EB89730"/>
    <w:rsid w:val="3EDF5D44"/>
    <w:rsid w:val="3EEB8872"/>
    <w:rsid w:val="3F62DF46"/>
    <w:rsid w:val="3F7503F9"/>
    <w:rsid w:val="3F772CED"/>
    <w:rsid w:val="3F7C0A14"/>
    <w:rsid w:val="3F9AAC23"/>
    <w:rsid w:val="3FA27F63"/>
    <w:rsid w:val="3FA359F2"/>
    <w:rsid w:val="3FA9C2AD"/>
    <w:rsid w:val="3FB89B29"/>
    <w:rsid w:val="3FBCCDDE"/>
    <w:rsid w:val="3FBEB59E"/>
    <w:rsid w:val="3FD63070"/>
    <w:rsid w:val="3FE249BA"/>
    <w:rsid w:val="3FE63B44"/>
    <w:rsid w:val="3FF59DC6"/>
    <w:rsid w:val="4002B1A4"/>
    <w:rsid w:val="40186E7A"/>
    <w:rsid w:val="4043FD6A"/>
    <w:rsid w:val="4047B0EA"/>
    <w:rsid w:val="404F47CD"/>
    <w:rsid w:val="405148E1"/>
    <w:rsid w:val="405A99C3"/>
    <w:rsid w:val="4062EACC"/>
    <w:rsid w:val="40670C14"/>
    <w:rsid w:val="40751058"/>
    <w:rsid w:val="40B89F08"/>
    <w:rsid w:val="40BB8442"/>
    <w:rsid w:val="40BBB55C"/>
    <w:rsid w:val="40BDE54D"/>
    <w:rsid w:val="40C30EDD"/>
    <w:rsid w:val="40C3275B"/>
    <w:rsid w:val="40D606B2"/>
    <w:rsid w:val="40E336FB"/>
    <w:rsid w:val="40FFA5FB"/>
    <w:rsid w:val="4108ABDB"/>
    <w:rsid w:val="412BC7D4"/>
    <w:rsid w:val="412C4F19"/>
    <w:rsid w:val="415FE37E"/>
    <w:rsid w:val="416AA321"/>
    <w:rsid w:val="418CD9AE"/>
    <w:rsid w:val="41CFA572"/>
    <w:rsid w:val="41D050B1"/>
    <w:rsid w:val="41D1B4BA"/>
    <w:rsid w:val="41DD7880"/>
    <w:rsid w:val="41E5BF1E"/>
    <w:rsid w:val="41EA0435"/>
    <w:rsid w:val="41F8D02D"/>
    <w:rsid w:val="41FC920A"/>
    <w:rsid w:val="421CCD33"/>
    <w:rsid w:val="4253BAB1"/>
    <w:rsid w:val="4263C310"/>
    <w:rsid w:val="42775973"/>
    <w:rsid w:val="42794193"/>
    <w:rsid w:val="428A7A80"/>
    <w:rsid w:val="428D33AD"/>
    <w:rsid w:val="4297ECF6"/>
    <w:rsid w:val="429AFAED"/>
    <w:rsid w:val="429D4E50"/>
    <w:rsid w:val="429DA9E4"/>
    <w:rsid w:val="42A8D11C"/>
    <w:rsid w:val="42BEAB08"/>
    <w:rsid w:val="42E349C0"/>
    <w:rsid w:val="42F3A181"/>
    <w:rsid w:val="42F802ED"/>
    <w:rsid w:val="43021389"/>
    <w:rsid w:val="43043292"/>
    <w:rsid w:val="433B4C15"/>
    <w:rsid w:val="4365E853"/>
    <w:rsid w:val="4371881D"/>
    <w:rsid w:val="438FEB7B"/>
    <w:rsid w:val="43929585"/>
    <w:rsid w:val="439600CE"/>
    <w:rsid w:val="439AD5AA"/>
    <w:rsid w:val="43A3D100"/>
    <w:rsid w:val="43CD7274"/>
    <w:rsid w:val="43CE4ED0"/>
    <w:rsid w:val="43DFEB4C"/>
    <w:rsid w:val="43EADCB5"/>
    <w:rsid w:val="441F5C34"/>
    <w:rsid w:val="442206CC"/>
    <w:rsid w:val="44225FBB"/>
    <w:rsid w:val="443004D5"/>
    <w:rsid w:val="443CE34B"/>
    <w:rsid w:val="4452704B"/>
    <w:rsid w:val="446AA95E"/>
    <w:rsid w:val="449ED6FA"/>
    <w:rsid w:val="44AE74DB"/>
    <w:rsid w:val="44B9EA8C"/>
    <w:rsid w:val="44D4C027"/>
    <w:rsid w:val="45001DF8"/>
    <w:rsid w:val="4518FB28"/>
    <w:rsid w:val="452629C2"/>
    <w:rsid w:val="452BE2D1"/>
    <w:rsid w:val="453172B2"/>
    <w:rsid w:val="4532E7A1"/>
    <w:rsid w:val="453566F9"/>
    <w:rsid w:val="453A06AC"/>
    <w:rsid w:val="453B8DE9"/>
    <w:rsid w:val="453DE1D3"/>
    <w:rsid w:val="4540CDF7"/>
    <w:rsid w:val="45636248"/>
    <w:rsid w:val="456401E1"/>
    <w:rsid w:val="4572060C"/>
    <w:rsid w:val="45751F4D"/>
    <w:rsid w:val="45981FE8"/>
    <w:rsid w:val="45BD0C47"/>
    <w:rsid w:val="45EAF572"/>
    <w:rsid w:val="461A9EE1"/>
    <w:rsid w:val="461E70D9"/>
    <w:rsid w:val="462A2A5E"/>
    <w:rsid w:val="46486295"/>
    <w:rsid w:val="464A0A24"/>
    <w:rsid w:val="465BE95C"/>
    <w:rsid w:val="4669EC0F"/>
    <w:rsid w:val="4683E0E8"/>
    <w:rsid w:val="46996844"/>
    <w:rsid w:val="46B8F54C"/>
    <w:rsid w:val="46D204BD"/>
    <w:rsid w:val="46F27307"/>
    <w:rsid w:val="4702B2EA"/>
    <w:rsid w:val="470ADB7C"/>
    <w:rsid w:val="471D4021"/>
    <w:rsid w:val="47295D71"/>
    <w:rsid w:val="4749820C"/>
    <w:rsid w:val="475DBFCC"/>
    <w:rsid w:val="47640EE6"/>
    <w:rsid w:val="4770212D"/>
    <w:rsid w:val="477BA41F"/>
    <w:rsid w:val="4793473F"/>
    <w:rsid w:val="4795E625"/>
    <w:rsid w:val="47A1153D"/>
    <w:rsid w:val="47A80554"/>
    <w:rsid w:val="47B1555F"/>
    <w:rsid w:val="47C4FECA"/>
    <w:rsid w:val="47EC5627"/>
    <w:rsid w:val="47EE2D59"/>
    <w:rsid w:val="47FA3F7A"/>
    <w:rsid w:val="480498FD"/>
    <w:rsid w:val="4816875F"/>
    <w:rsid w:val="48180797"/>
    <w:rsid w:val="481FBE58"/>
    <w:rsid w:val="48392362"/>
    <w:rsid w:val="483F0E8D"/>
    <w:rsid w:val="4846F3B1"/>
    <w:rsid w:val="48599976"/>
    <w:rsid w:val="486ABDDB"/>
    <w:rsid w:val="486D5F83"/>
    <w:rsid w:val="4879E3AA"/>
    <w:rsid w:val="48949550"/>
    <w:rsid w:val="48A82222"/>
    <w:rsid w:val="48B86B5B"/>
    <w:rsid w:val="48C4E727"/>
    <w:rsid w:val="48C6433D"/>
    <w:rsid w:val="48CD2C58"/>
    <w:rsid w:val="48D56E7C"/>
    <w:rsid w:val="48DD9C47"/>
    <w:rsid w:val="49194078"/>
    <w:rsid w:val="49283CB0"/>
    <w:rsid w:val="4952FA32"/>
    <w:rsid w:val="495CB74C"/>
    <w:rsid w:val="49649B0A"/>
    <w:rsid w:val="4984A537"/>
    <w:rsid w:val="499F183F"/>
    <w:rsid w:val="49C227E9"/>
    <w:rsid w:val="49D0B472"/>
    <w:rsid w:val="49DA9A4D"/>
    <w:rsid w:val="49E072FD"/>
    <w:rsid w:val="49F82341"/>
    <w:rsid w:val="49FD1A12"/>
    <w:rsid w:val="4A0525AC"/>
    <w:rsid w:val="4A0D7C66"/>
    <w:rsid w:val="4A37EAA7"/>
    <w:rsid w:val="4A4CF90E"/>
    <w:rsid w:val="4A55023A"/>
    <w:rsid w:val="4A91094D"/>
    <w:rsid w:val="4A95A3AF"/>
    <w:rsid w:val="4A9F379E"/>
    <w:rsid w:val="4AAC33D9"/>
    <w:rsid w:val="4ABB092D"/>
    <w:rsid w:val="4AC2C4AE"/>
    <w:rsid w:val="4AC356E4"/>
    <w:rsid w:val="4AD8F3E7"/>
    <w:rsid w:val="4AEB5DB1"/>
    <w:rsid w:val="4AEEB7E9"/>
    <w:rsid w:val="4AFD1E35"/>
    <w:rsid w:val="4B0F1906"/>
    <w:rsid w:val="4B5683EB"/>
    <w:rsid w:val="4B745D34"/>
    <w:rsid w:val="4B99A4C4"/>
    <w:rsid w:val="4BB4BA38"/>
    <w:rsid w:val="4BBCE318"/>
    <w:rsid w:val="4BD2B932"/>
    <w:rsid w:val="4BD58EFD"/>
    <w:rsid w:val="4BEC12EF"/>
    <w:rsid w:val="4BF41254"/>
    <w:rsid w:val="4C15D7DA"/>
    <w:rsid w:val="4C26BE83"/>
    <w:rsid w:val="4C390ED6"/>
    <w:rsid w:val="4C441327"/>
    <w:rsid w:val="4C55474C"/>
    <w:rsid w:val="4C630B2E"/>
    <w:rsid w:val="4C6C73AC"/>
    <w:rsid w:val="4C794FED"/>
    <w:rsid w:val="4C9D00EC"/>
    <w:rsid w:val="4CA27D2C"/>
    <w:rsid w:val="4CDDA028"/>
    <w:rsid w:val="4CE0EAE7"/>
    <w:rsid w:val="4D093F74"/>
    <w:rsid w:val="4D17210D"/>
    <w:rsid w:val="4D2D9D54"/>
    <w:rsid w:val="4D3DC531"/>
    <w:rsid w:val="4D427F80"/>
    <w:rsid w:val="4D4F0DC9"/>
    <w:rsid w:val="4D511FF5"/>
    <w:rsid w:val="4D5FA01E"/>
    <w:rsid w:val="4D6DD84A"/>
    <w:rsid w:val="4DBBF12A"/>
    <w:rsid w:val="4DC0D824"/>
    <w:rsid w:val="4DC31B7E"/>
    <w:rsid w:val="4DC7D3B9"/>
    <w:rsid w:val="4DD3582C"/>
    <w:rsid w:val="4DE136D9"/>
    <w:rsid w:val="4DE2AF1E"/>
    <w:rsid w:val="4DE7F8C0"/>
    <w:rsid w:val="4DF01EA2"/>
    <w:rsid w:val="4DFDDDFD"/>
    <w:rsid w:val="4E0E1F53"/>
    <w:rsid w:val="4E128D79"/>
    <w:rsid w:val="4E27C1EA"/>
    <w:rsid w:val="4E635FAC"/>
    <w:rsid w:val="4E6B6B91"/>
    <w:rsid w:val="4E6D6D15"/>
    <w:rsid w:val="4E837FE8"/>
    <w:rsid w:val="4E95E276"/>
    <w:rsid w:val="4EA643D4"/>
    <w:rsid w:val="4EE9B9AA"/>
    <w:rsid w:val="4EEFD85C"/>
    <w:rsid w:val="4F03AE75"/>
    <w:rsid w:val="4F0B39E2"/>
    <w:rsid w:val="4F1CE63C"/>
    <w:rsid w:val="4F3E6C9F"/>
    <w:rsid w:val="4F4BF072"/>
    <w:rsid w:val="4F4F9D9E"/>
    <w:rsid w:val="4F5AB9EC"/>
    <w:rsid w:val="4F64EFB0"/>
    <w:rsid w:val="4F6D4DA8"/>
    <w:rsid w:val="4FA19F39"/>
    <w:rsid w:val="4FA3C9A9"/>
    <w:rsid w:val="4FA4192D"/>
    <w:rsid w:val="4FAD765D"/>
    <w:rsid w:val="4FE77BF9"/>
    <w:rsid w:val="50141799"/>
    <w:rsid w:val="5019B854"/>
    <w:rsid w:val="5023B8D0"/>
    <w:rsid w:val="50516BE1"/>
    <w:rsid w:val="5052CDB8"/>
    <w:rsid w:val="5058FDBA"/>
    <w:rsid w:val="505BFBCA"/>
    <w:rsid w:val="507367EA"/>
    <w:rsid w:val="5098B732"/>
    <w:rsid w:val="50A90413"/>
    <w:rsid w:val="50ADEA29"/>
    <w:rsid w:val="50B548DE"/>
    <w:rsid w:val="50C5D6F3"/>
    <w:rsid w:val="50D5B5FB"/>
    <w:rsid w:val="50EBE3BD"/>
    <w:rsid w:val="50EEE661"/>
    <w:rsid w:val="510BA328"/>
    <w:rsid w:val="512CC83B"/>
    <w:rsid w:val="514CDC60"/>
    <w:rsid w:val="514DEB0B"/>
    <w:rsid w:val="5152C26E"/>
    <w:rsid w:val="51703223"/>
    <w:rsid w:val="5184043D"/>
    <w:rsid w:val="519C7FB1"/>
    <w:rsid w:val="519C9C3C"/>
    <w:rsid w:val="519E8AC2"/>
    <w:rsid w:val="519F9041"/>
    <w:rsid w:val="51A2A5F1"/>
    <w:rsid w:val="51AC9062"/>
    <w:rsid w:val="51B99644"/>
    <w:rsid w:val="51C0ACDB"/>
    <w:rsid w:val="51E522D7"/>
    <w:rsid w:val="52079D4D"/>
    <w:rsid w:val="521849F0"/>
    <w:rsid w:val="521D2ED6"/>
    <w:rsid w:val="522FB4F6"/>
    <w:rsid w:val="523A6A0F"/>
    <w:rsid w:val="5253C95C"/>
    <w:rsid w:val="52545FA7"/>
    <w:rsid w:val="52571AD3"/>
    <w:rsid w:val="5258EBEB"/>
    <w:rsid w:val="5259835E"/>
    <w:rsid w:val="529C790C"/>
    <w:rsid w:val="52A22DCF"/>
    <w:rsid w:val="52D3A78D"/>
    <w:rsid w:val="52D577ED"/>
    <w:rsid w:val="52E75DDC"/>
    <w:rsid w:val="52FC1B92"/>
    <w:rsid w:val="53043C2F"/>
    <w:rsid w:val="5304801C"/>
    <w:rsid w:val="530C8C25"/>
    <w:rsid w:val="5316016C"/>
    <w:rsid w:val="531997E3"/>
    <w:rsid w:val="53330411"/>
    <w:rsid w:val="533675E9"/>
    <w:rsid w:val="535ADE95"/>
    <w:rsid w:val="53629532"/>
    <w:rsid w:val="53779F61"/>
    <w:rsid w:val="538D3FF5"/>
    <w:rsid w:val="53B4EA5B"/>
    <w:rsid w:val="53C44EE8"/>
    <w:rsid w:val="53CE3498"/>
    <w:rsid w:val="53DA6E55"/>
    <w:rsid w:val="53DCFF30"/>
    <w:rsid w:val="53E27481"/>
    <w:rsid w:val="53F35F63"/>
    <w:rsid w:val="5401D55A"/>
    <w:rsid w:val="540529F7"/>
    <w:rsid w:val="541106E6"/>
    <w:rsid w:val="54179A22"/>
    <w:rsid w:val="54184766"/>
    <w:rsid w:val="54259C90"/>
    <w:rsid w:val="544C572F"/>
    <w:rsid w:val="544EF585"/>
    <w:rsid w:val="546D87FC"/>
    <w:rsid w:val="5471FF1A"/>
    <w:rsid w:val="54737462"/>
    <w:rsid w:val="54A3C682"/>
    <w:rsid w:val="54AB551E"/>
    <w:rsid w:val="54D226DD"/>
    <w:rsid w:val="54DF9C18"/>
    <w:rsid w:val="54E052C0"/>
    <w:rsid w:val="54E57520"/>
    <w:rsid w:val="54F25006"/>
    <w:rsid w:val="54FEC7D3"/>
    <w:rsid w:val="55017C18"/>
    <w:rsid w:val="55180B89"/>
    <w:rsid w:val="551B5C15"/>
    <w:rsid w:val="551C8469"/>
    <w:rsid w:val="5526A9AD"/>
    <w:rsid w:val="55438AFB"/>
    <w:rsid w:val="5565E5B2"/>
    <w:rsid w:val="55706B96"/>
    <w:rsid w:val="558D981A"/>
    <w:rsid w:val="559BEFB6"/>
    <w:rsid w:val="55B7618C"/>
    <w:rsid w:val="55B948A8"/>
    <w:rsid w:val="55BE5DD4"/>
    <w:rsid w:val="55E649E8"/>
    <w:rsid w:val="55EB768A"/>
    <w:rsid w:val="560DA5D9"/>
    <w:rsid w:val="561DDF9B"/>
    <w:rsid w:val="56254BB1"/>
    <w:rsid w:val="562A0FD2"/>
    <w:rsid w:val="5634C38A"/>
    <w:rsid w:val="5653BB2E"/>
    <w:rsid w:val="565BE2FD"/>
    <w:rsid w:val="567C959D"/>
    <w:rsid w:val="5687AD77"/>
    <w:rsid w:val="569DD823"/>
    <w:rsid w:val="56A1E89B"/>
    <w:rsid w:val="56AC1F6D"/>
    <w:rsid w:val="56B37F67"/>
    <w:rsid w:val="56BBCF8E"/>
    <w:rsid w:val="56DBFF46"/>
    <w:rsid w:val="570576FB"/>
    <w:rsid w:val="572DE868"/>
    <w:rsid w:val="573B1160"/>
    <w:rsid w:val="575D6515"/>
    <w:rsid w:val="5772D564"/>
    <w:rsid w:val="57770899"/>
    <w:rsid w:val="577E8A38"/>
    <w:rsid w:val="579073FA"/>
    <w:rsid w:val="5795695E"/>
    <w:rsid w:val="5795B281"/>
    <w:rsid w:val="579B78DC"/>
    <w:rsid w:val="57AED252"/>
    <w:rsid w:val="57B0B421"/>
    <w:rsid w:val="57C8759C"/>
    <w:rsid w:val="58042911"/>
    <w:rsid w:val="58077018"/>
    <w:rsid w:val="58296BE0"/>
    <w:rsid w:val="583D942E"/>
    <w:rsid w:val="584F7326"/>
    <w:rsid w:val="587C0F68"/>
    <w:rsid w:val="587E85FC"/>
    <w:rsid w:val="588ECEC1"/>
    <w:rsid w:val="589DA9AD"/>
    <w:rsid w:val="58D7E19D"/>
    <w:rsid w:val="58F4B1E9"/>
    <w:rsid w:val="5900CF88"/>
    <w:rsid w:val="59214181"/>
    <w:rsid w:val="5924D86C"/>
    <w:rsid w:val="59280DB5"/>
    <w:rsid w:val="59433BF5"/>
    <w:rsid w:val="594F4FE6"/>
    <w:rsid w:val="595DE905"/>
    <w:rsid w:val="5964E1DA"/>
    <w:rsid w:val="596B8249"/>
    <w:rsid w:val="597A2F2A"/>
    <w:rsid w:val="599ECB9E"/>
    <w:rsid w:val="59A56D4A"/>
    <w:rsid w:val="59BC834C"/>
    <w:rsid w:val="59C997C1"/>
    <w:rsid w:val="59D00BF5"/>
    <w:rsid w:val="59D6712F"/>
    <w:rsid w:val="59D94F58"/>
    <w:rsid w:val="5A13B625"/>
    <w:rsid w:val="5A343A2D"/>
    <w:rsid w:val="5A53A750"/>
    <w:rsid w:val="5A65AF44"/>
    <w:rsid w:val="5A67089F"/>
    <w:rsid w:val="5A6C6DC9"/>
    <w:rsid w:val="5A759041"/>
    <w:rsid w:val="5A7708BC"/>
    <w:rsid w:val="5A8D3BCF"/>
    <w:rsid w:val="5A92BEC5"/>
    <w:rsid w:val="5A9E903F"/>
    <w:rsid w:val="5AA2B9AF"/>
    <w:rsid w:val="5ACC74E1"/>
    <w:rsid w:val="5AD84DD6"/>
    <w:rsid w:val="5AEC935A"/>
    <w:rsid w:val="5B16F077"/>
    <w:rsid w:val="5B2B82C0"/>
    <w:rsid w:val="5B39761E"/>
    <w:rsid w:val="5B3DC5F0"/>
    <w:rsid w:val="5B50207D"/>
    <w:rsid w:val="5B56D772"/>
    <w:rsid w:val="5B6E45EB"/>
    <w:rsid w:val="5B6FE0AE"/>
    <w:rsid w:val="5B7E7599"/>
    <w:rsid w:val="5B81EA7E"/>
    <w:rsid w:val="5B87DECB"/>
    <w:rsid w:val="5B9A6BDD"/>
    <w:rsid w:val="5B9E6FF9"/>
    <w:rsid w:val="5BBA978B"/>
    <w:rsid w:val="5BD03FA7"/>
    <w:rsid w:val="5BDF7CEC"/>
    <w:rsid w:val="5BE3E91F"/>
    <w:rsid w:val="5BF3EF08"/>
    <w:rsid w:val="5BFDAF0E"/>
    <w:rsid w:val="5C194465"/>
    <w:rsid w:val="5C66FE66"/>
    <w:rsid w:val="5C6DF91D"/>
    <w:rsid w:val="5C83888B"/>
    <w:rsid w:val="5C97FD94"/>
    <w:rsid w:val="5CA506DE"/>
    <w:rsid w:val="5CAA18D2"/>
    <w:rsid w:val="5CAFB336"/>
    <w:rsid w:val="5CFF980E"/>
    <w:rsid w:val="5D312DC7"/>
    <w:rsid w:val="5D317281"/>
    <w:rsid w:val="5D4BC212"/>
    <w:rsid w:val="5D55F21D"/>
    <w:rsid w:val="5D5CCB2A"/>
    <w:rsid w:val="5D6DB7A6"/>
    <w:rsid w:val="5D763227"/>
    <w:rsid w:val="5D7C74E6"/>
    <w:rsid w:val="5D84ACAA"/>
    <w:rsid w:val="5D8AC878"/>
    <w:rsid w:val="5DA256AE"/>
    <w:rsid w:val="5DE2A20E"/>
    <w:rsid w:val="5E06DC44"/>
    <w:rsid w:val="5E10832F"/>
    <w:rsid w:val="5E2ACE09"/>
    <w:rsid w:val="5E37B9DA"/>
    <w:rsid w:val="5E4FF083"/>
    <w:rsid w:val="5E5F63FC"/>
    <w:rsid w:val="5E68A07D"/>
    <w:rsid w:val="5E6987E9"/>
    <w:rsid w:val="5E6E56C7"/>
    <w:rsid w:val="5E7735BD"/>
    <w:rsid w:val="5E7BBB09"/>
    <w:rsid w:val="5E7D2339"/>
    <w:rsid w:val="5EC19683"/>
    <w:rsid w:val="5EEE320D"/>
    <w:rsid w:val="5EF3EE79"/>
    <w:rsid w:val="5F00AF16"/>
    <w:rsid w:val="5F018AC9"/>
    <w:rsid w:val="5F083CC2"/>
    <w:rsid w:val="5F0A79EB"/>
    <w:rsid w:val="5F1424FB"/>
    <w:rsid w:val="5F14754D"/>
    <w:rsid w:val="5F1F515B"/>
    <w:rsid w:val="5F2EA980"/>
    <w:rsid w:val="5F437A2A"/>
    <w:rsid w:val="5F4611D7"/>
    <w:rsid w:val="5F5D0E86"/>
    <w:rsid w:val="5F5D3A62"/>
    <w:rsid w:val="5F64DC82"/>
    <w:rsid w:val="5F93F293"/>
    <w:rsid w:val="5FB59AC8"/>
    <w:rsid w:val="5FCAB05C"/>
    <w:rsid w:val="5FD5385C"/>
    <w:rsid w:val="5FFB38EB"/>
    <w:rsid w:val="600731D6"/>
    <w:rsid w:val="602165A9"/>
    <w:rsid w:val="6039CCA0"/>
    <w:rsid w:val="606F1488"/>
    <w:rsid w:val="60947153"/>
    <w:rsid w:val="60962EA0"/>
    <w:rsid w:val="60A04D15"/>
    <w:rsid w:val="60A2A524"/>
    <w:rsid w:val="60B803BE"/>
    <w:rsid w:val="60B80986"/>
    <w:rsid w:val="60EF81F0"/>
    <w:rsid w:val="60F66EB7"/>
    <w:rsid w:val="610B4D49"/>
    <w:rsid w:val="612DB3C5"/>
    <w:rsid w:val="6137042A"/>
    <w:rsid w:val="617F4092"/>
    <w:rsid w:val="61892120"/>
    <w:rsid w:val="618E2BBA"/>
    <w:rsid w:val="61968D96"/>
    <w:rsid w:val="61970FDC"/>
    <w:rsid w:val="619F80A7"/>
    <w:rsid w:val="61A20E09"/>
    <w:rsid w:val="61A4328A"/>
    <w:rsid w:val="61A5E3B8"/>
    <w:rsid w:val="61B5D237"/>
    <w:rsid w:val="61B76EAA"/>
    <w:rsid w:val="61C44765"/>
    <w:rsid w:val="61D504DC"/>
    <w:rsid w:val="61D7CCD3"/>
    <w:rsid w:val="61EDF0A4"/>
    <w:rsid w:val="6217C802"/>
    <w:rsid w:val="62204F16"/>
    <w:rsid w:val="62371689"/>
    <w:rsid w:val="624296B8"/>
    <w:rsid w:val="62483615"/>
    <w:rsid w:val="625FE80A"/>
    <w:rsid w:val="62623821"/>
    <w:rsid w:val="627A2D08"/>
    <w:rsid w:val="628069AC"/>
    <w:rsid w:val="6291059F"/>
    <w:rsid w:val="62CE519D"/>
    <w:rsid w:val="62E62175"/>
    <w:rsid w:val="63016AB9"/>
    <w:rsid w:val="63018DBC"/>
    <w:rsid w:val="6301DF62"/>
    <w:rsid w:val="63028D51"/>
    <w:rsid w:val="633A11B7"/>
    <w:rsid w:val="633AFC29"/>
    <w:rsid w:val="633D7F49"/>
    <w:rsid w:val="6348AFAF"/>
    <w:rsid w:val="6350FEEA"/>
    <w:rsid w:val="63560F9F"/>
    <w:rsid w:val="635A0479"/>
    <w:rsid w:val="6362F90B"/>
    <w:rsid w:val="636A8520"/>
    <w:rsid w:val="6386C020"/>
    <w:rsid w:val="638B071D"/>
    <w:rsid w:val="639E9263"/>
    <w:rsid w:val="63B4C9F3"/>
    <w:rsid w:val="63CCC16C"/>
    <w:rsid w:val="63D5D7B3"/>
    <w:rsid w:val="63DEDEE2"/>
    <w:rsid w:val="63EEC043"/>
    <w:rsid w:val="6402D6DE"/>
    <w:rsid w:val="640F7132"/>
    <w:rsid w:val="646E3CBA"/>
    <w:rsid w:val="647B6BED"/>
    <w:rsid w:val="64803C5B"/>
    <w:rsid w:val="64863F36"/>
    <w:rsid w:val="64972040"/>
    <w:rsid w:val="64A15177"/>
    <w:rsid w:val="64AA1087"/>
    <w:rsid w:val="64B2F260"/>
    <w:rsid w:val="64B90CEB"/>
    <w:rsid w:val="64CC6ABF"/>
    <w:rsid w:val="64D49C24"/>
    <w:rsid w:val="64ECCE6F"/>
    <w:rsid w:val="64F806C3"/>
    <w:rsid w:val="651C64D4"/>
    <w:rsid w:val="651D9A73"/>
    <w:rsid w:val="6528B624"/>
    <w:rsid w:val="652BB881"/>
    <w:rsid w:val="652FEF09"/>
    <w:rsid w:val="653312A0"/>
    <w:rsid w:val="6547A0BF"/>
    <w:rsid w:val="654A2FCF"/>
    <w:rsid w:val="654B7785"/>
    <w:rsid w:val="654E0CF0"/>
    <w:rsid w:val="655D1435"/>
    <w:rsid w:val="6595A59B"/>
    <w:rsid w:val="65A97859"/>
    <w:rsid w:val="65AA6A4B"/>
    <w:rsid w:val="65AF75D0"/>
    <w:rsid w:val="65C4B4CA"/>
    <w:rsid w:val="65CB52DF"/>
    <w:rsid w:val="65CEE34C"/>
    <w:rsid w:val="65DBD8BB"/>
    <w:rsid w:val="65E0072B"/>
    <w:rsid w:val="65EC32BC"/>
    <w:rsid w:val="65F3836B"/>
    <w:rsid w:val="65F4654F"/>
    <w:rsid w:val="65FB74E6"/>
    <w:rsid w:val="66190443"/>
    <w:rsid w:val="661EEEE4"/>
    <w:rsid w:val="6635A1B7"/>
    <w:rsid w:val="6636D0A7"/>
    <w:rsid w:val="663DF216"/>
    <w:rsid w:val="66403AC3"/>
    <w:rsid w:val="6643935A"/>
    <w:rsid w:val="664DEB04"/>
    <w:rsid w:val="664FBF9A"/>
    <w:rsid w:val="66541E10"/>
    <w:rsid w:val="66559B06"/>
    <w:rsid w:val="668BE863"/>
    <w:rsid w:val="66A15231"/>
    <w:rsid w:val="66A26F3A"/>
    <w:rsid w:val="66ADB6C0"/>
    <w:rsid w:val="66BA23BF"/>
    <w:rsid w:val="66C4E916"/>
    <w:rsid w:val="66E983DF"/>
    <w:rsid w:val="66ECF4BB"/>
    <w:rsid w:val="670C6CFE"/>
    <w:rsid w:val="671AEA6C"/>
    <w:rsid w:val="6731C00C"/>
    <w:rsid w:val="675D6972"/>
    <w:rsid w:val="67701A0B"/>
    <w:rsid w:val="6773A8BD"/>
    <w:rsid w:val="6775E861"/>
    <w:rsid w:val="67844251"/>
    <w:rsid w:val="678829E7"/>
    <w:rsid w:val="678F2C14"/>
    <w:rsid w:val="67C54514"/>
    <w:rsid w:val="67DCEE20"/>
    <w:rsid w:val="67E5968A"/>
    <w:rsid w:val="67E64470"/>
    <w:rsid w:val="67F31F30"/>
    <w:rsid w:val="680EC9DE"/>
    <w:rsid w:val="68179F40"/>
    <w:rsid w:val="68310479"/>
    <w:rsid w:val="684C1BB5"/>
    <w:rsid w:val="68500CEA"/>
    <w:rsid w:val="68600DB0"/>
    <w:rsid w:val="68984AD2"/>
    <w:rsid w:val="68A87FC7"/>
    <w:rsid w:val="68CBCB7A"/>
    <w:rsid w:val="68CCDA28"/>
    <w:rsid w:val="68D71238"/>
    <w:rsid w:val="68DB41F4"/>
    <w:rsid w:val="68E28477"/>
    <w:rsid w:val="690664BB"/>
    <w:rsid w:val="690EC090"/>
    <w:rsid w:val="6925527D"/>
    <w:rsid w:val="6940A4FE"/>
    <w:rsid w:val="6951F078"/>
    <w:rsid w:val="6983393A"/>
    <w:rsid w:val="69B86270"/>
    <w:rsid w:val="69B9BF31"/>
    <w:rsid w:val="69BC9D4F"/>
    <w:rsid w:val="69D342D6"/>
    <w:rsid w:val="69EF46F0"/>
    <w:rsid w:val="69F4676E"/>
    <w:rsid w:val="69F482C1"/>
    <w:rsid w:val="69F91C06"/>
    <w:rsid w:val="6A0CA704"/>
    <w:rsid w:val="6A2201C5"/>
    <w:rsid w:val="6A238BD7"/>
    <w:rsid w:val="6A2D1F2F"/>
    <w:rsid w:val="6A35A70D"/>
    <w:rsid w:val="6A3E5C23"/>
    <w:rsid w:val="6A4B8F5F"/>
    <w:rsid w:val="6A4CC786"/>
    <w:rsid w:val="6A6C1E0F"/>
    <w:rsid w:val="6A7F99C5"/>
    <w:rsid w:val="6A82DA19"/>
    <w:rsid w:val="6A8B5E2A"/>
    <w:rsid w:val="6AA4795A"/>
    <w:rsid w:val="6ABF393B"/>
    <w:rsid w:val="6ADCC9A6"/>
    <w:rsid w:val="6AE628CC"/>
    <w:rsid w:val="6AEC3281"/>
    <w:rsid w:val="6AF971BB"/>
    <w:rsid w:val="6B1F6161"/>
    <w:rsid w:val="6B5B7E36"/>
    <w:rsid w:val="6B62838A"/>
    <w:rsid w:val="6B63819F"/>
    <w:rsid w:val="6B65FACC"/>
    <w:rsid w:val="6B6F2273"/>
    <w:rsid w:val="6B8C0088"/>
    <w:rsid w:val="6B8F71DA"/>
    <w:rsid w:val="6B930C4F"/>
    <w:rsid w:val="6BD916E0"/>
    <w:rsid w:val="6BDDAF37"/>
    <w:rsid w:val="6BE9E98A"/>
    <w:rsid w:val="6BF26AE3"/>
    <w:rsid w:val="6BFC5261"/>
    <w:rsid w:val="6C031B23"/>
    <w:rsid w:val="6C26A0A4"/>
    <w:rsid w:val="6C6ABC47"/>
    <w:rsid w:val="6C6EE38D"/>
    <w:rsid w:val="6C908B63"/>
    <w:rsid w:val="6C9D25E0"/>
    <w:rsid w:val="6CAAE009"/>
    <w:rsid w:val="6CC56944"/>
    <w:rsid w:val="6CCDB91E"/>
    <w:rsid w:val="6CCE7700"/>
    <w:rsid w:val="6CD1F041"/>
    <w:rsid w:val="6CD2B223"/>
    <w:rsid w:val="6CD89071"/>
    <w:rsid w:val="6CDF876C"/>
    <w:rsid w:val="6CE37A1C"/>
    <w:rsid w:val="6CF0F914"/>
    <w:rsid w:val="6CFD2F57"/>
    <w:rsid w:val="6D07274D"/>
    <w:rsid w:val="6D0C9877"/>
    <w:rsid w:val="6D12841D"/>
    <w:rsid w:val="6D190F9A"/>
    <w:rsid w:val="6D2E932A"/>
    <w:rsid w:val="6D3AB102"/>
    <w:rsid w:val="6D5CA86E"/>
    <w:rsid w:val="6D5E4C2C"/>
    <w:rsid w:val="6D5EC3DA"/>
    <w:rsid w:val="6D6978DF"/>
    <w:rsid w:val="6D7444D0"/>
    <w:rsid w:val="6D914BD5"/>
    <w:rsid w:val="6DC8B781"/>
    <w:rsid w:val="6DE85D5C"/>
    <w:rsid w:val="6E047D26"/>
    <w:rsid w:val="6E22D558"/>
    <w:rsid w:val="6E2AD23D"/>
    <w:rsid w:val="6E877F13"/>
    <w:rsid w:val="6EB5209B"/>
    <w:rsid w:val="6EEBEB2B"/>
    <w:rsid w:val="6EF0C059"/>
    <w:rsid w:val="6F22B10C"/>
    <w:rsid w:val="6F3E2B35"/>
    <w:rsid w:val="6F417F17"/>
    <w:rsid w:val="6F52DCB9"/>
    <w:rsid w:val="6F530AC7"/>
    <w:rsid w:val="6F557806"/>
    <w:rsid w:val="6F6BD074"/>
    <w:rsid w:val="6F6EA7E1"/>
    <w:rsid w:val="6FD5A42E"/>
    <w:rsid w:val="6FED0CD1"/>
    <w:rsid w:val="701EA9A9"/>
    <w:rsid w:val="70389770"/>
    <w:rsid w:val="70466758"/>
    <w:rsid w:val="70669EF6"/>
    <w:rsid w:val="707D4490"/>
    <w:rsid w:val="7080A962"/>
    <w:rsid w:val="708134B9"/>
    <w:rsid w:val="708285FA"/>
    <w:rsid w:val="709F21C7"/>
    <w:rsid w:val="70A06D37"/>
    <w:rsid w:val="70A112A0"/>
    <w:rsid w:val="70DB4919"/>
    <w:rsid w:val="70FD9FF0"/>
    <w:rsid w:val="71298FAE"/>
    <w:rsid w:val="71326FFA"/>
    <w:rsid w:val="71337E91"/>
    <w:rsid w:val="71431E2E"/>
    <w:rsid w:val="7177A7CC"/>
    <w:rsid w:val="71873B6F"/>
    <w:rsid w:val="719E830C"/>
    <w:rsid w:val="71B843F0"/>
    <w:rsid w:val="71C1B1D1"/>
    <w:rsid w:val="71DAC02C"/>
    <w:rsid w:val="71F5AE85"/>
    <w:rsid w:val="720E61D6"/>
    <w:rsid w:val="7213C4C9"/>
    <w:rsid w:val="725D9CA2"/>
    <w:rsid w:val="726D66EE"/>
    <w:rsid w:val="727F7A97"/>
    <w:rsid w:val="728486F0"/>
    <w:rsid w:val="72965BF1"/>
    <w:rsid w:val="72ABC9FB"/>
    <w:rsid w:val="72D81974"/>
    <w:rsid w:val="72DC88D3"/>
    <w:rsid w:val="72E0110F"/>
    <w:rsid w:val="7323317F"/>
    <w:rsid w:val="732934AA"/>
    <w:rsid w:val="7336392F"/>
    <w:rsid w:val="733889CB"/>
    <w:rsid w:val="7362BD19"/>
    <w:rsid w:val="736A39B9"/>
    <w:rsid w:val="73705026"/>
    <w:rsid w:val="73A0C62D"/>
    <w:rsid w:val="73A1B04F"/>
    <w:rsid w:val="73B76F8F"/>
    <w:rsid w:val="73BD7065"/>
    <w:rsid w:val="73BF3A11"/>
    <w:rsid w:val="73C49C40"/>
    <w:rsid w:val="73C6F121"/>
    <w:rsid w:val="73EE7F7F"/>
    <w:rsid w:val="73FED4EC"/>
    <w:rsid w:val="7408ED8C"/>
    <w:rsid w:val="74239C44"/>
    <w:rsid w:val="74310062"/>
    <w:rsid w:val="7464BC5E"/>
    <w:rsid w:val="747F9031"/>
    <w:rsid w:val="74890BE5"/>
    <w:rsid w:val="74AB34B6"/>
    <w:rsid w:val="74AD6659"/>
    <w:rsid w:val="74AEE414"/>
    <w:rsid w:val="74BD5755"/>
    <w:rsid w:val="74C114CC"/>
    <w:rsid w:val="74C2489F"/>
    <w:rsid w:val="74D874F7"/>
    <w:rsid w:val="74DC1C18"/>
    <w:rsid w:val="74DFDDB1"/>
    <w:rsid w:val="74E143F1"/>
    <w:rsid w:val="74E85F3A"/>
    <w:rsid w:val="753E50B5"/>
    <w:rsid w:val="755731E2"/>
    <w:rsid w:val="756A4B6D"/>
    <w:rsid w:val="75873C9E"/>
    <w:rsid w:val="759E184B"/>
    <w:rsid w:val="75B7CE17"/>
    <w:rsid w:val="75CCCDF3"/>
    <w:rsid w:val="760D65F4"/>
    <w:rsid w:val="760FB020"/>
    <w:rsid w:val="7611E832"/>
    <w:rsid w:val="76166936"/>
    <w:rsid w:val="7619D77F"/>
    <w:rsid w:val="7625C99A"/>
    <w:rsid w:val="7632EF55"/>
    <w:rsid w:val="7636F60B"/>
    <w:rsid w:val="7638BCFA"/>
    <w:rsid w:val="764328B2"/>
    <w:rsid w:val="7654AC9B"/>
    <w:rsid w:val="76574355"/>
    <w:rsid w:val="765AC71C"/>
    <w:rsid w:val="7667CA5D"/>
    <w:rsid w:val="7686E65C"/>
    <w:rsid w:val="76AC2EF8"/>
    <w:rsid w:val="76AD28CC"/>
    <w:rsid w:val="76C939CA"/>
    <w:rsid w:val="76CD4F2B"/>
    <w:rsid w:val="76D36FE2"/>
    <w:rsid w:val="76D82875"/>
    <w:rsid w:val="76E62CDF"/>
    <w:rsid w:val="770A3E0F"/>
    <w:rsid w:val="770F6F41"/>
    <w:rsid w:val="771934AB"/>
    <w:rsid w:val="77214167"/>
    <w:rsid w:val="772D98EE"/>
    <w:rsid w:val="77352CED"/>
    <w:rsid w:val="773F4906"/>
    <w:rsid w:val="77490269"/>
    <w:rsid w:val="7752D347"/>
    <w:rsid w:val="77724B7A"/>
    <w:rsid w:val="7789DA9A"/>
    <w:rsid w:val="77A8B3BB"/>
    <w:rsid w:val="77AE0CAA"/>
    <w:rsid w:val="77AF6499"/>
    <w:rsid w:val="77B00955"/>
    <w:rsid w:val="77CBEE6F"/>
    <w:rsid w:val="77E0D66F"/>
    <w:rsid w:val="77F7E733"/>
    <w:rsid w:val="78295275"/>
    <w:rsid w:val="782C1CC9"/>
    <w:rsid w:val="78312034"/>
    <w:rsid w:val="783DEE4A"/>
    <w:rsid w:val="78450036"/>
    <w:rsid w:val="784D880A"/>
    <w:rsid w:val="786B47E6"/>
    <w:rsid w:val="786B7652"/>
    <w:rsid w:val="7870971F"/>
    <w:rsid w:val="788CE349"/>
    <w:rsid w:val="78AD2DD6"/>
    <w:rsid w:val="78DAA289"/>
    <w:rsid w:val="78DDC2C8"/>
    <w:rsid w:val="78F92163"/>
    <w:rsid w:val="791DF256"/>
    <w:rsid w:val="79212450"/>
    <w:rsid w:val="79323E7B"/>
    <w:rsid w:val="793DC85F"/>
    <w:rsid w:val="793F52A6"/>
    <w:rsid w:val="794663C2"/>
    <w:rsid w:val="7957EBEE"/>
    <w:rsid w:val="7959C7AB"/>
    <w:rsid w:val="795A9690"/>
    <w:rsid w:val="7977E5F4"/>
    <w:rsid w:val="797AC652"/>
    <w:rsid w:val="7993F372"/>
    <w:rsid w:val="79C3A833"/>
    <w:rsid w:val="79C3E44F"/>
    <w:rsid w:val="79D5F8C6"/>
    <w:rsid w:val="79EB3123"/>
    <w:rsid w:val="79EB6D12"/>
    <w:rsid w:val="79FA213A"/>
    <w:rsid w:val="79FCBC5D"/>
    <w:rsid w:val="7A18D609"/>
    <w:rsid w:val="7A2E809A"/>
    <w:rsid w:val="7A2F38DE"/>
    <w:rsid w:val="7A3A46A0"/>
    <w:rsid w:val="7A6B2A54"/>
    <w:rsid w:val="7A71F207"/>
    <w:rsid w:val="7A742542"/>
    <w:rsid w:val="7A8C707C"/>
    <w:rsid w:val="7AAB3F3C"/>
    <w:rsid w:val="7AB1C868"/>
    <w:rsid w:val="7ACE166E"/>
    <w:rsid w:val="7ADF6938"/>
    <w:rsid w:val="7B38043F"/>
    <w:rsid w:val="7B47A0FE"/>
    <w:rsid w:val="7B49F996"/>
    <w:rsid w:val="7B64DA6C"/>
    <w:rsid w:val="7B67F535"/>
    <w:rsid w:val="7B720F6F"/>
    <w:rsid w:val="7B7C358E"/>
    <w:rsid w:val="7B7E673C"/>
    <w:rsid w:val="7B8028D3"/>
    <w:rsid w:val="7BB493C9"/>
    <w:rsid w:val="7BF2E1B8"/>
    <w:rsid w:val="7C0F56A9"/>
    <w:rsid w:val="7C2F9362"/>
    <w:rsid w:val="7C3A4DFC"/>
    <w:rsid w:val="7C5A68B1"/>
    <w:rsid w:val="7C5E2E4B"/>
    <w:rsid w:val="7C715F76"/>
    <w:rsid w:val="7C78D7E1"/>
    <w:rsid w:val="7C8BE19E"/>
    <w:rsid w:val="7CACE01E"/>
    <w:rsid w:val="7CC63141"/>
    <w:rsid w:val="7CD08410"/>
    <w:rsid w:val="7CE25B61"/>
    <w:rsid w:val="7CF66B3B"/>
    <w:rsid w:val="7D11CADB"/>
    <w:rsid w:val="7D18474A"/>
    <w:rsid w:val="7D26E5E8"/>
    <w:rsid w:val="7D2DDFC4"/>
    <w:rsid w:val="7D2EB1A2"/>
    <w:rsid w:val="7D37F74E"/>
    <w:rsid w:val="7D430A91"/>
    <w:rsid w:val="7D76FD68"/>
    <w:rsid w:val="7D8DB127"/>
    <w:rsid w:val="7D94868E"/>
    <w:rsid w:val="7DAB77C9"/>
    <w:rsid w:val="7DE3829D"/>
    <w:rsid w:val="7DF6C447"/>
    <w:rsid w:val="7DFFE963"/>
    <w:rsid w:val="7E2A36ED"/>
    <w:rsid w:val="7E551871"/>
    <w:rsid w:val="7E635F31"/>
    <w:rsid w:val="7E8DCCC4"/>
    <w:rsid w:val="7EA406A5"/>
    <w:rsid w:val="7EA4281C"/>
    <w:rsid w:val="7EAA3E89"/>
    <w:rsid w:val="7EB12E6A"/>
    <w:rsid w:val="7EB1FCF6"/>
    <w:rsid w:val="7ECFAAAA"/>
    <w:rsid w:val="7EFDA273"/>
    <w:rsid w:val="7F1655E2"/>
    <w:rsid w:val="7F1F23B9"/>
    <w:rsid w:val="7F1F9E9F"/>
    <w:rsid w:val="7F237FD1"/>
    <w:rsid w:val="7F3EC68C"/>
    <w:rsid w:val="7F3F989C"/>
    <w:rsid w:val="7F47E778"/>
    <w:rsid w:val="7F59C981"/>
    <w:rsid w:val="7F610F43"/>
    <w:rsid w:val="7F69DCA0"/>
    <w:rsid w:val="7F720286"/>
    <w:rsid w:val="7F9A6DD9"/>
    <w:rsid w:val="7F9ADC1B"/>
    <w:rsid w:val="7FACB558"/>
    <w:rsid w:val="7FBC0398"/>
    <w:rsid w:val="7FC37713"/>
    <w:rsid w:val="7FC72940"/>
    <w:rsid w:val="7FEA13D1"/>
    <w:rsid w:val="7FED40A6"/>
    <w:rsid w:val="7FF82889"/>
    <w:rsid w:val="7FF9E9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49A582"/>
  <w15:docId w15:val="{651986CB-9BB4-4086-9AA6-4E7F3C691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SimSun" w:hAnsi="Arial" w:cs="Times New Roman"/>
        <w:sz w:val="22"/>
        <w:szCs w:val="22"/>
        <w:lang w:val="en-US" w:eastAsia="en-US" w:bidi="ar-SA"/>
      </w:rPr>
    </w:rPrDefault>
    <w:pPrDefault>
      <w:pPr>
        <w:jc w:val="both"/>
      </w:pPr>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1" w:semiHidden="1" w:uiPriority="99" w:unhideWhenUsed="1" w:qFormat="1"/>
    <w:lsdException w:name="annotation text" w:semiHidden="1" w:uiPriority="99" w:unhideWhenUsed="1"/>
    <w:lsdException w:name="header" w:locked="1" w:semiHidden="1" w:uiPriority="99"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3F6A"/>
  </w:style>
  <w:style w:type="paragraph" w:styleId="Heading1">
    <w:name w:val="heading 1"/>
    <w:basedOn w:val="Normal"/>
    <w:next w:val="Normal"/>
    <w:link w:val="Heading1Char"/>
    <w:qFormat/>
    <w:rsid w:val="00BB526D"/>
    <w:pPr>
      <w:keepNext/>
      <w:numPr>
        <w:numId w:val="3"/>
      </w:numPr>
      <w:jc w:val="center"/>
      <w:outlineLvl w:val="0"/>
    </w:pPr>
    <w:rPr>
      <w:b/>
      <w:caps/>
      <w:kern w:val="28"/>
    </w:rPr>
  </w:style>
  <w:style w:type="paragraph" w:styleId="Heading2">
    <w:name w:val="heading 2"/>
    <w:basedOn w:val="Normal"/>
    <w:next w:val="Normal"/>
    <w:link w:val="Heading2Char"/>
    <w:qFormat/>
    <w:rsid w:val="006A0CEF"/>
    <w:pPr>
      <w:keepNext/>
      <w:numPr>
        <w:ilvl w:val="1"/>
        <w:numId w:val="3"/>
      </w:numPr>
      <w:outlineLvl w:val="1"/>
    </w:pPr>
    <w:rPr>
      <w:b/>
    </w:rPr>
  </w:style>
  <w:style w:type="paragraph" w:styleId="Heading3">
    <w:name w:val="heading 3"/>
    <w:basedOn w:val="Normal"/>
    <w:next w:val="Normal"/>
    <w:qFormat/>
    <w:rsid w:val="006A0CEF"/>
    <w:pPr>
      <w:keepNext/>
      <w:numPr>
        <w:ilvl w:val="2"/>
        <w:numId w:val="3"/>
      </w:numPr>
      <w:outlineLvl w:val="2"/>
    </w:pPr>
    <w:rPr>
      <w:b/>
    </w:rPr>
  </w:style>
  <w:style w:type="paragraph" w:styleId="Heading4">
    <w:name w:val="heading 4"/>
    <w:basedOn w:val="Normal"/>
    <w:next w:val="Normal"/>
    <w:qFormat/>
    <w:rsid w:val="004D71D0"/>
    <w:pPr>
      <w:keepNext/>
      <w:numPr>
        <w:ilvl w:val="3"/>
        <w:numId w:val="3"/>
      </w:numPr>
      <w:spacing w:after="240"/>
      <w:jc w:val="left"/>
      <w:outlineLvl w:val="3"/>
    </w:pPr>
    <w:rPr>
      <w:b/>
    </w:rPr>
  </w:style>
  <w:style w:type="paragraph" w:styleId="Heading5">
    <w:name w:val="heading 5"/>
    <w:basedOn w:val="Normal"/>
    <w:next w:val="Normal"/>
    <w:qFormat/>
    <w:rsid w:val="004D71D0"/>
    <w:pPr>
      <w:numPr>
        <w:ilvl w:val="4"/>
        <w:numId w:val="3"/>
      </w:numPr>
      <w:spacing w:after="240"/>
      <w:outlineLvl w:val="4"/>
    </w:pPr>
    <w:rPr>
      <w:b/>
    </w:rPr>
  </w:style>
  <w:style w:type="paragraph" w:styleId="Heading6">
    <w:name w:val="heading 6"/>
    <w:basedOn w:val="Normal"/>
    <w:next w:val="Normal"/>
    <w:qFormat/>
    <w:rsid w:val="004D71D0"/>
    <w:pPr>
      <w:numPr>
        <w:ilvl w:val="5"/>
        <w:numId w:val="3"/>
      </w:numPr>
      <w:spacing w:before="240" w:after="60"/>
      <w:outlineLvl w:val="5"/>
    </w:pPr>
    <w:rPr>
      <w:i/>
    </w:rPr>
  </w:style>
  <w:style w:type="paragraph" w:styleId="Heading7">
    <w:name w:val="heading 7"/>
    <w:basedOn w:val="Normal"/>
    <w:next w:val="Normal"/>
    <w:qFormat/>
    <w:rsid w:val="004D71D0"/>
    <w:pPr>
      <w:numPr>
        <w:ilvl w:val="6"/>
        <w:numId w:val="3"/>
      </w:numPr>
      <w:spacing w:before="240" w:after="60"/>
      <w:outlineLvl w:val="6"/>
    </w:pPr>
    <w:rPr>
      <w:sz w:val="20"/>
    </w:rPr>
  </w:style>
  <w:style w:type="paragraph" w:styleId="Heading8">
    <w:name w:val="heading 8"/>
    <w:basedOn w:val="Normal"/>
    <w:next w:val="Normal"/>
    <w:qFormat/>
    <w:rsid w:val="004D71D0"/>
    <w:pPr>
      <w:numPr>
        <w:ilvl w:val="7"/>
        <w:numId w:val="3"/>
      </w:numPr>
      <w:spacing w:before="240" w:after="60"/>
      <w:outlineLvl w:val="7"/>
    </w:pPr>
    <w:rPr>
      <w:i/>
      <w:sz w:val="20"/>
    </w:rPr>
  </w:style>
  <w:style w:type="paragraph" w:styleId="Heading9">
    <w:name w:val="heading 9"/>
    <w:basedOn w:val="Normal"/>
    <w:next w:val="Normal"/>
    <w:qFormat/>
    <w:rsid w:val="004D71D0"/>
    <w:pPr>
      <w:numPr>
        <w:ilvl w:val="8"/>
        <w:numId w:val="3"/>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D71D0"/>
    <w:rPr>
      <w:rFonts w:ascii="Tahoma" w:hAnsi="Tahoma" w:cs="Tahoma"/>
      <w:sz w:val="16"/>
      <w:szCs w:val="16"/>
    </w:rPr>
  </w:style>
  <w:style w:type="paragraph" w:styleId="Header">
    <w:name w:val="header"/>
    <w:basedOn w:val="Normal"/>
    <w:link w:val="HeaderChar"/>
    <w:uiPriority w:val="99"/>
    <w:rsid w:val="006A0CEF"/>
    <w:pPr>
      <w:jc w:val="center"/>
    </w:pPr>
  </w:style>
  <w:style w:type="paragraph" w:styleId="Footer">
    <w:name w:val="footer"/>
    <w:basedOn w:val="Normal"/>
    <w:rsid w:val="006A0CEF"/>
  </w:style>
  <w:style w:type="character" w:styleId="CommentReference">
    <w:name w:val="annotation reference"/>
    <w:basedOn w:val="DefaultParagraphFont"/>
    <w:uiPriority w:val="99"/>
    <w:semiHidden/>
    <w:rsid w:val="00DE4214"/>
    <w:rPr>
      <w:rFonts w:cs="Times New Roman"/>
      <w:sz w:val="16"/>
      <w:szCs w:val="16"/>
    </w:rPr>
  </w:style>
  <w:style w:type="paragraph" w:styleId="CommentText">
    <w:name w:val="annotation text"/>
    <w:basedOn w:val="Normal"/>
    <w:link w:val="CommentTextChar"/>
    <w:uiPriority w:val="99"/>
    <w:semiHidden/>
    <w:rsid w:val="00DE4214"/>
    <w:rPr>
      <w:sz w:val="20"/>
    </w:rPr>
  </w:style>
  <w:style w:type="paragraph" w:styleId="CommentSubject">
    <w:name w:val="annotation subject"/>
    <w:basedOn w:val="CommentText"/>
    <w:next w:val="CommentText"/>
    <w:semiHidden/>
    <w:rsid w:val="00DE4214"/>
    <w:rPr>
      <w:b/>
      <w:bCs/>
    </w:rPr>
  </w:style>
  <w:style w:type="paragraph" w:styleId="FootnoteText">
    <w:name w:val="footnote text"/>
    <w:aliases w:val="single space,ft,ALTS FOOTNOTE,fn,Footnote Text Char Char,FOOTNOTES,ADB,Fußnote,footnote text Char,Footnote Text Char1 Char,Footnote Text Char1,Footnote Text Char2 Char,f,footnote text,Geneva 9,Font: Geneva 9,ft1,12pt,ft Char Char,Footnote"/>
    <w:basedOn w:val="Normal"/>
    <w:link w:val="FootnoteTextChar"/>
    <w:uiPriority w:val="99"/>
    <w:qFormat/>
    <w:rsid w:val="004D71D0"/>
    <w:pPr>
      <w:ind w:left="187" w:hanging="187"/>
    </w:pPr>
    <w:rPr>
      <w:color w:val="000000"/>
      <w:sz w:val="18"/>
    </w:rPr>
  </w:style>
  <w:style w:type="character" w:styleId="FootnoteReference">
    <w:name w:val="footnote reference"/>
    <w:aliases w:val="ftref,16 Point,Superscript 6 Point,Ref,de nota al pie,fr,(NECG) Footnote Reference,Fußnotenzeichen DISS,footnote ref,Footnote Reference Number,Footnote Ref in FtNote,BVI fnr,Char Char Char Char Car Char,Footnote text,SUPERS,脚注引用,10 pt"/>
    <w:basedOn w:val="DefaultParagraphFont"/>
    <w:link w:val="BVIfnrCarCar1"/>
    <w:uiPriority w:val="99"/>
    <w:qFormat/>
    <w:rsid w:val="004D71D0"/>
    <w:rPr>
      <w:rFonts w:cs="Times New Roman"/>
      <w:vertAlign w:val="superscript"/>
    </w:rPr>
  </w:style>
  <w:style w:type="paragraph" w:styleId="TOC1">
    <w:name w:val="toc 1"/>
    <w:basedOn w:val="Normal"/>
    <w:next w:val="Normal"/>
    <w:uiPriority w:val="39"/>
    <w:rsid w:val="00FF3F6A"/>
    <w:pPr>
      <w:tabs>
        <w:tab w:val="left" w:pos="720"/>
        <w:tab w:val="right" w:pos="9360"/>
      </w:tabs>
      <w:spacing w:before="120" w:after="60"/>
      <w:jc w:val="left"/>
    </w:pPr>
    <w:rPr>
      <w:rFonts w:cs="Arial"/>
      <w:caps/>
      <w:noProof/>
    </w:rPr>
  </w:style>
  <w:style w:type="paragraph" w:styleId="TOC2">
    <w:name w:val="toc 2"/>
    <w:basedOn w:val="Normal"/>
    <w:next w:val="Normal"/>
    <w:uiPriority w:val="39"/>
    <w:rsid w:val="006A0CEF"/>
    <w:pPr>
      <w:tabs>
        <w:tab w:val="left" w:pos="1440"/>
        <w:tab w:val="right" w:pos="9360"/>
      </w:tabs>
      <w:ind w:left="720"/>
      <w:jc w:val="left"/>
    </w:pPr>
    <w:rPr>
      <w:noProof/>
    </w:rPr>
  </w:style>
  <w:style w:type="paragraph" w:customStyle="1" w:styleId="Appendix">
    <w:name w:val="Appendix"/>
    <w:basedOn w:val="Heading1"/>
    <w:link w:val="AppendixChar"/>
    <w:qFormat/>
    <w:rsid w:val="00BB526D"/>
    <w:pPr>
      <w:numPr>
        <w:numId w:val="0"/>
      </w:numPr>
    </w:pPr>
  </w:style>
  <w:style w:type="paragraph" w:styleId="TOC3">
    <w:name w:val="toc 3"/>
    <w:basedOn w:val="Normal"/>
    <w:next w:val="Normal"/>
    <w:uiPriority w:val="39"/>
    <w:rsid w:val="006A0CEF"/>
    <w:pPr>
      <w:numPr>
        <w:numId w:val="12"/>
      </w:numPr>
      <w:spacing w:before="120" w:after="60"/>
      <w:ind w:left="720" w:hanging="720"/>
    </w:pPr>
  </w:style>
  <w:style w:type="character" w:customStyle="1" w:styleId="AppendixChar">
    <w:name w:val="Appendix Char"/>
    <w:basedOn w:val="Heading1Char"/>
    <w:link w:val="Appendix"/>
    <w:rsid w:val="00BB526D"/>
    <w:rPr>
      <w:b/>
      <w:caps/>
      <w:kern w:val="28"/>
    </w:rPr>
  </w:style>
  <w:style w:type="paragraph" w:customStyle="1" w:styleId="FrontMatter">
    <w:name w:val="Front Matter"/>
    <w:basedOn w:val="Appendix"/>
    <w:link w:val="FrontMatterChar"/>
    <w:qFormat/>
    <w:rsid w:val="00BB526D"/>
  </w:style>
  <w:style w:type="character" w:customStyle="1" w:styleId="FrontMatterChar">
    <w:name w:val="Front Matter Char"/>
    <w:basedOn w:val="AppendixChar"/>
    <w:link w:val="FrontMatter"/>
    <w:rsid w:val="00BB526D"/>
    <w:rPr>
      <w:b/>
      <w:caps/>
      <w:kern w:val="28"/>
    </w:rPr>
  </w:style>
  <w:style w:type="character" w:styleId="EndnoteReference">
    <w:name w:val="endnote reference"/>
    <w:basedOn w:val="DefaultParagraphFont"/>
    <w:semiHidden/>
    <w:rsid w:val="004D71D0"/>
    <w:rPr>
      <w:rFonts w:cs="Times New Roman"/>
      <w:vertAlign w:val="superscript"/>
    </w:rPr>
  </w:style>
  <w:style w:type="paragraph" w:styleId="EndnoteText">
    <w:name w:val="endnote text"/>
    <w:basedOn w:val="Normal"/>
    <w:link w:val="EndnoteTextChar"/>
    <w:semiHidden/>
    <w:rsid w:val="004D71D0"/>
    <w:rPr>
      <w:sz w:val="20"/>
    </w:rPr>
  </w:style>
  <w:style w:type="character" w:styleId="Hyperlink">
    <w:name w:val="Hyperlink"/>
    <w:basedOn w:val="DefaultParagraphFont"/>
    <w:uiPriority w:val="99"/>
    <w:rsid w:val="004D71D0"/>
    <w:rPr>
      <w:rFonts w:cs="Times New Roman"/>
      <w:color w:val="0000FF"/>
      <w:u w:val="single"/>
    </w:rPr>
  </w:style>
  <w:style w:type="character" w:styleId="FollowedHyperlink">
    <w:name w:val="FollowedHyperlink"/>
    <w:basedOn w:val="DefaultParagraphFont"/>
    <w:rsid w:val="000E55C5"/>
    <w:rPr>
      <w:rFonts w:cs="Times New Roman"/>
      <w:color w:val="800080"/>
      <w:u w:val="single"/>
    </w:rPr>
  </w:style>
  <w:style w:type="character" w:customStyle="1" w:styleId="Heading1Char">
    <w:name w:val="Heading 1 Char"/>
    <w:basedOn w:val="DefaultParagraphFont"/>
    <w:link w:val="Heading1"/>
    <w:locked/>
    <w:rsid w:val="00BB526D"/>
    <w:rPr>
      <w:b/>
      <w:caps/>
      <w:kern w:val="28"/>
    </w:rPr>
  </w:style>
  <w:style w:type="character" w:customStyle="1" w:styleId="Heading2Char">
    <w:name w:val="Heading 2 Char"/>
    <w:basedOn w:val="DefaultParagraphFont"/>
    <w:link w:val="Heading2"/>
    <w:locked/>
    <w:rsid w:val="006A0CEF"/>
    <w:rPr>
      <w:b/>
    </w:rPr>
  </w:style>
  <w:style w:type="character" w:customStyle="1" w:styleId="EndnoteTextChar">
    <w:name w:val="Endnote Text Char"/>
    <w:basedOn w:val="DefaultParagraphFont"/>
    <w:link w:val="EndnoteText"/>
    <w:locked/>
    <w:rsid w:val="000E55C5"/>
    <w:rPr>
      <w:rFonts w:ascii="Arial" w:hAnsi="Arial" w:cs="Times New Roman"/>
      <w:lang w:val="en-US" w:eastAsia="en-US" w:bidi="ar-SA"/>
    </w:rPr>
  </w:style>
  <w:style w:type="paragraph" w:styleId="ListParagraph">
    <w:name w:val="List Paragraph"/>
    <w:aliases w:val="Paragraph,CPS,Recommendation,List Paragraph11,Bulleted List Paragraph,data item,Bullet list,List_Paragraph,Multilevel para_II,Numbered Paragraph,# pharagraph,List Paragraph2,Main numbered paragraph,References,Akapit z listą BS,Text,罗列,Ha"/>
    <w:basedOn w:val="Normal"/>
    <w:link w:val="ListParagraphChar"/>
    <w:uiPriority w:val="34"/>
    <w:qFormat/>
    <w:rsid w:val="000E55C5"/>
    <w:pPr>
      <w:ind w:left="720"/>
      <w:jc w:val="left"/>
    </w:pPr>
    <w:rPr>
      <w:rFonts w:eastAsia="MS Mincho"/>
      <w:szCs w:val="24"/>
      <w:lang w:eastAsia="ja-JP"/>
    </w:rPr>
  </w:style>
  <w:style w:type="paragraph" w:styleId="Revision">
    <w:name w:val="Revision"/>
    <w:hidden/>
    <w:semiHidden/>
    <w:rsid w:val="006F6971"/>
  </w:style>
  <w:style w:type="character" w:customStyle="1" w:styleId="HeaderChar">
    <w:name w:val="Header Char"/>
    <w:basedOn w:val="DefaultParagraphFont"/>
    <w:link w:val="Header"/>
    <w:uiPriority w:val="99"/>
    <w:locked/>
    <w:rsid w:val="006A0CEF"/>
    <w:rPr>
      <w:rFonts w:ascii="Arial" w:hAnsi="Arial"/>
      <w:sz w:val="22"/>
    </w:rPr>
  </w:style>
  <w:style w:type="character" w:customStyle="1" w:styleId="FootnoteTextChar">
    <w:name w:val="Footnote Text Char"/>
    <w:aliases w:val="single space Char1,ft Char1,ALTS FOOTNOTE Char1,fn Char1,Footnote Text Char Char Char1,FOOTNOTES Char1,ADB Char1,Fußnote Char1,footnote text Char Char1,Footnote Text Char1 Char Char,Footnote Text Char1 Char1,f Char,footnote text Char1"/>
    <w:basedOn w:val="DefaultParagraphFont"/>
    <w:link w:val="FootnoteText"/>
    <w:uiPriority w:val="99"/>
    <w:qFormat/>
    <w:locked/>
    <w:rsid w:val="002551A2"/>
    <w:rPr>
      <w:rFonts w:ascii="Arial" w:hAnsi="Arial" w:cs="Times New Roman"/>
      <w:color w:val="000000"/>
      <w:sz w:val="18"/>
    </w:rPr>
  </w:style>
  <w:style w:type="character" w:customStyle="1" w:styleId="singlespaceChar">
    <w:name w:val="single space Char"/>
    <w:aliases w:val="ft Char,ALTS FOOTNOTE Char,fn Char,Footnote Text Char Char Char,FOOTNOTES Char,ADB Char,Fußnote Char,footnote text Char Char"/>
    <w:basedOn w:val="DefaultParagraphFont"/>
    <w:semiHidden/>
    <w:locked/>
    <w:rsid w:val="00D80CEA"/>
    <w:rPr>
      <w:rFonts w:cs="Times New Roman"/>
      <w:sz w:val="20"/>
      <w:szCs w:val="20"/>
    </w:rPr>
  </w:style>
  <w:style w:type="character" w:customStyle="1" w:styleId="ListParagraphChar">
    <w:name w:val="List Paragraph Char"/>
    <w:aliases w:val="Paragraph Char,CPS Char,Recommendation Char,List Paragraph11 Char,Bulleted List Paragraph Char,data item Char,Bullet list Char,List_Paragraph Char,Multilevel para_II Char,Numbered Paragraph Char,# pharagraph Char,List Paragraph2 Char"/>
    <w:basedOn w:val="DefaultParagraphFont"/>
    <w:link w:val="ListParagraph"/>
    <w:uiPriority w:val="34"/>
    <w:qFormat/>
    <w:locked/>
    <w:rsid w:val="00DD7715"/>
    <w:rPr>
      <w:rFonts w:ascii="Arial" w:eastAsia="MS Mincho" w:hAnsi="Arial"/>
      <w:sz w:val="22"/>
      <w:szCs w:val="24"/>
      <w:lang w:eastAsia="ja-JP"/>
    </w:rPr>
  </w:style>
  <w:style w:type="character" w:customStyle="1" w:styleId="normaltextrun">
    <w:name w:val="normaltextrun"/>
    <w:basedOn w:val="DefaultParagraphFont"/>
    <w:rsid w:val="00DB215D"/>
  </w:style>
  <w:style w:type="character" w:customStyle="1" w:styleId="UnresolvedMention1">
    <w:name w:val="Unresolved Mention1"/>
    <w:basedOn w:val="DefaultParagraphFont"/>
    <w:uiPriority w:val="99"/>
    <w:semiHidden/>
    <w:unhideWhenUsed/>
    <w:rsid w:val="0027566F"/>
    <w:rPr>
      <w:color w:val="605E5C"/>
      <w:shd w:val="clear" w:color="auto" w:fill="E1DFDD"/>
    </w:rPr>
  </w:style>
  <w:style w:type="table" w:styleId="TableGrid">
    <w:name w:val="Table Grid"/>
    <w:basedOn w:val="TableNormal"/>
    <w:uiPriority w:val="39"/>
    <w:rsid w:val="00762D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762D3E"/>
  </w:style>
  <w:style w:type="paragraph" w:styleId="HTMLPreformatted">
    <w:name w:val="HTML Preformatted"/>
    <w:basedOn w:val="Normal"/>
    <w:link w:val="HTMLPreformattedChar"/>
    <w:uiPriority w:val="99"/>
    <w:unhideWhenUsed/>
    <w:rsid w:val="00255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MS Mincho" w:hAnsi="Courier New" w:cs="Courier New"/>
      <w:sz w:val="20"/>
      <w:szCs w:val="20"/>
      <w:lang w:val="ru-RU" w:eastAsia="ru-RU"/>
    </w:rPr>
  </w:style>
  <w:style w:type="character" w:customStyle="1" w:styleId="HTMLPreformattedChar">
    <w:name w:val="HTML Preformatted Char"/>
    <w:basedOn w:val="DefaultParagraphFont"/>
    <w:link w:val="HTMLPreformatted"/>
    <w:uiPriority w:val="99"/>
    <w:rsid w:val="00255FD0"/>
    <w:rPr>
      <w:rFonts w:ascii="Courier New" w:eastAsia="MS Mincho" w:hAnsi="Courier New" w:cs="Courier New"/>
      <w:sz w:val="20"/>
      <w:szCs w:val="20"/>
      <w:lang w:val="ru-RU" w:eastAsia="ru-RU"/>
    </w:rPr>
  </w:style>
  <w:style w:type="paragraph" w:customStyle="1" w:styleId="BVIfnrCarCar1">
    <w:name w:val="BVI fnr Car Car1"/>
    <w:aliases w:val="BVI fnr Car1,BVI fnr Car Car Car Car, BVI fnr, BVI fnr Car Car,BVI fnr Car Car,BVI fnr Car,BVI fnr Car Car Char,BVI fnr Car Car Car Car Char,BVI fnr Car Car Car Car Char Char Char,BVI fnr Char Char"/>
    <w:basedOn w:val="Normal"/>
    <w:link w:val="FootnoteReference"/>
    <w:uiPriority w:val="99"/>
    <w:rsid w:val="00255FD0"/>
    <w:pPr>
      <w:spacing w:after="160" w:line="240" w:lineRule="exact"/>
      <w:jc w:val="left"/>
    </w:pPr>
    <w:rPr>
      <w:vertAlign w:val="superscript"/>
    </w:rPr>
  </w:style>
  <w:style w:type="character" w:customStyle="1" w:styleId="apple-converted-space">
    <w:name w:val="apple-converted-space"/>
    <w:basedOn w:val="DefaultParagraphFont"/>
    <w:rsid w:val="00650CEF"/>
  </w:style>
  <w:style w:type="paragraph" w:customStyle="1" w:styleId="Default">
    <w:name w:val="Default"/>
    <w:rsid w:val="00B17B8B"/>
    <w:pPr>
      <w:autoSpaceDE w:val="0"/>
      <w:autoSpaceDN w:val="0"/>
      <w:adjustRightInd w:val="0"/>
      <w:jc w:val="left"/>
    </w:pPr>
    <w:rPr>
      <w:rFonts w:eastAsiaTheme="minorHAnsi" w:cs="Arial"/>
      <w:color w:val="000000"/>
      <w:sz w:val="24"/>
      <w:szCs w:val="24"/>
    </w:rPr>
  </w:style>
  <w:style w:type="paragraph" w:styleId="BodyTextIndent2">
    <w:name w:val="Body Text Indent 2"/>
    <w:basedOn w:val="Normal"/>
    <w:link w:val="BodyTextIndent2Char"/>
    <w:rsid w:val="002B2443"/>
    <w:pPr>
      <w:ind w:left="-360"/>
    </w:pPr>
    <w:rPr>
      <w:rFonts w:eastAsia="Times New Roman"/>
      <w:color w:val="FF0000"/>
      <w:sz w:val="20"/>
      <w:szCs w:val="20"/>
    </w:rPr>
  </w:style>
  <w:style w:type="character" w:customStyle="1" w:styleId="BodyTextIndent2Char">
    <w:name w:val="Body Text Indent 2 Char"/>
    <w:basedOn w:val="DefaultParagraphFont"/>
    <w:link w:val="BodyTextIndent2"/>
    <w:rsid w:val="002B2443"/>
    <w:rPr>
      <w:rFonts w:eastAsia="Times New Roman"/>
      <w:color w:val="FF0000"/>
      <w:sz w:val="20"/>
      <w:szCs w:val="20"/>
    </w:rPr>
  </w:style>
  <w:style w:type="paragraph" w:customStyle="1" w:styleId="ftrefChar1">
    <w:name w:val="ftref Char1"/>
    <w:aliases w:val="ftref Знак Char,ftref Char Знак Char,ftref Char Car Char Car Char Car Car Char Car Car Char Знак Char,BVI fnr Char Car Char Car Char Car Car Char Car Car Car Car Car Car Car Car Car Char Знак Знак Char Cha,Ref Ch"/>
    <w:basedOn w:val="Normal"/>
    <w:rsid w:val="0001393F"/>
    <w:pPr>
      <w:spacing w:after="160" w:line="240" w:lineRule="exact"/>
    </w:pPr>
    <w:rPr>
      <w:rFonts w:eastAsiaTheme="minorHAnsi"/>
      <w:vertAlign w:val="superscript"/>
    </w:rPr>
  </w:style>
  <w:style w:type="paragraph" w:styleId="NoSpacing">
    <w:name w:val="No Spacing"/>
    <w:uiPriority w:val="1"/>
    <w:qFormat/>
    <w:rsid w:val="00D45ADC"/>
    <w:pPr>
      <w:jc w:val="left"/>
    </w:pPr>
    <w:rPr>
      <w:rFonts w:asciiTheme="minorHAnsi" w:eastAsiaTheme="minorHAnsi" w:hAnsiTheme="minorHAnsi" w:cstheme="minorBidi"/>
    </w:rPr>
  </w:style>
  <w:style w:type="paragraph" w:customStyle="1" w:styleId="Char2">
    <w:name w:val="Char2"/>
    <w:basedOn w:val="Normal"/>
    <w:rsid w:val="00F66A09"/>
    <w:pPr>
      <w:spacing w:after="160" w:line="240" w:lineRule="exact"/>
      <w:jc w:val="left"/>
    </w:pPr>
    <w:rPr>
      <w:rFonts w:asciiTheme="minorHAnsi" w:eastAsiaTheme="minorHAnsi" w:hAnsiTheme="minorHAnsi" w:cstheme="minorBidi"/>
      <w:vertAlign w:val="superscript"/>
    </w:rPr>
  </w:style>
  <w:style w:type="character" w:styleId="PageNumber">
    <w:name w:val="page number"/>
    <w:basedOn w:val="DefaultParagraphFont"/>
    <w:semiHidden/>
    <w:unhideWhenUsed/>
    <w:rsid w:val="00813024"/>
  </w:style>
  <w:style w:type="paragraph" w:styleId="NormalWeb">
    <w:name w:val="Normal (Web)"/>
    <w:basedOn w:val="Normal"/>
    <w:uiPriority w:val="99"/>
    <w:semiHidden/>
    <w:unhideWhenUsed/>
    <w:rsid w:val="00041329"/>
    <w:pPr>
      <w:spacing w:before="100" w:beforeAutospacing="1" w:after="100" w:afterAutospacing="1"/>
      <w:jc w:val="left"/>
    </w:pPr>
    <w:rPr>
      <w:rFonts w:ascii="Times New Roman" w:eastAsia="Times New Roman" w:hAnsi="Times New Roman"/>
      <w:sz w:val="24"/>
      <w:szCs w:val="24"/>
    </w:rPr>
  </w:style>
  <w:style w:type="paragraph" w:customStyle="1" w:styleId="xmsonormal">
    <w:name w:val="x_msonormal"/>
    <w:basedOn w:val="Normal"/>
    <w:rsid w:val="0081007C"/>
    <w:pPr>
      <w:jc w:val="left"/>
    </w:pPr>
    <w:rPr>
      <w:rFonts w:ascii="Calibri" w:eastAsiaTheme="minorHAnsi" w:hAnsi="Calibri" w:cs="Calibri"/>
    </w:rPr>
  </w:style>
  <w:style w:type="paragraph" w:customStyle="1" w:styleId="gmail-m-5635099746557049505tableparagraph">
    <w:name w:val="gmail-m_-5635099746557049505tableparagraph"/>
    <w:basedOn w:val="Normal"/>
    <w:rsid w:val="00436DB6"/>
    <w:pPr>
      <w:spacing w:before="100" w:beforeAutospacing="1" w:after="100" w:afterAutospacing="1"/>
      <w:jc w:val="left"/>
    </w:pPr>
    <w:rPr>
      <w:rFonts w:ascii="Calibri" w:eastAsiaTheme="minorHAnsi" w:hAnsi="Calibri" w:cs="Calibri"/>
    </w:rPr>
  </w:style>
  <w:style w:type="paragraph" w:customStyle="1" w:styleId="gmail-m-3365168972029178602gmail-m-5635099746557049505tableparagraph">
    <w:name w:val="gmail-m_-3365168972029178602gmail-m-5635099746557049505tableparagraph"/>
    <w:basedOn w:val="Normal"/>
    <w:rsid w:val="00436DB6"/>
    <w:pPr>
      <w:spacing w:before="100" w:beforeAutospacing="1" w:after="100" w:afterAutospacing="1"/>
      <w:jc w:val="left"/>
    </w:pPr>
    <w:rPr>
      <w:rFonts w:ascii="Calibri" w:eastAsiaTheme="minorHAnsi" w:hAnsi="Calibri" w:cs="Calibri"/>
    </w:rPr>
  </w:style>
  <w:style w:type="character" w:customStyle="1" w:styleId="CommentTextChar">
    <w:name w:val="Comment Text Char"/>
    <w:basedOn w:val="DefaultParagraphFont"/>
    <w:link w:val="CommentText"/>
    <w:uiPriority w:val="99"/>
    <w:semiHidden/>
    <w:rsid w:val="009D683E"/>
    <w:rPr>
      <w:sz w:val="20"/>
    </w:rPr>
  </w:style>
  <w:style w:type="paragraph" w:styleId="Caption">
    <w:name w:val="caption"/>
    <w:basedOn w:val="Normal"/>
    <w:next w:val="Normal"/>
    <w:uiPriority w:val="35"/>
    <w:unhideWhenUsed/>
    <w:qFormat/>
    <w:locked/>
    <w:rsid w:val="009D683E"/>
    <w:pPr>
      <w:spacing w:after="200"/>
      <w:jc w:val="left"/>
    </w:pPr>
    <w:rPr>
      <w:rFonts w:asciiTheme="minorHAnsi" w:eastAsiaTheme="minorHAnsi" w:hAnsiTheme="minorHAnsi" w:cstheme="minorBidi"/>
      <w:i/>
      <w:iCs/>
      <w:color w:val="1F497D" w:themeColor="text2"/>
      <w:sz w:val="18"/>
      <w:szCs w:val="18"/>
    </w:rPr>
  </w:style>
  <w:style w:type="character" w:customStyle="1" w:styleId="UnresolvedMention">
    <w:name w:val="Unresolved Mention"/>
    <w:basedOn w:val="DefaultParagraphFont"/>
    <w:uiPriority w:val="99"/>
    <w:semiHidden/>
    <w:unhideWhenUsed/>
    <w:rsid w:val="009D683E"/>
    <w:rPr>
      <w:color w:val="605E5C"/>
      <w:shd w:val="clear" w:color="auto" w:fill="E1DFDD"/>
    </w:rPr>
  </w:style>
  <w:style w:type="paragraph" w:customStyle="1" w:styleId="paragraph">
    <w:name w:val="paragraph"/>
    <w:basedOn w:val="Normal"/>
    <w:rsid w:val="009D683E"/>
    <w:pPr>
      <w:spacing w:before="100" w:beforeAutospacing="1" w:after="100" w:afterAutospacing="1"/>
      <w:jc w:val="left"/>
    </w:pPr>
    <w:rPr>
      <w:rFonts w:ascii="Times New Roman" w:eastAsia="Times New Roman" w:hAnsi="Times New Roman"/>
      <w:sz w:val="24"/>
      <w:szCs w:val="24"/>
    </w:rPr>
  </w:style>
  <w:style w:type="table" w:styleId="PlainTable2">
    <w:name w:val="Plain Table 2"/>
    <w:basedOn w:val="TableNormal"/>
    <w:uiPriority w:val="42"/>
    <w:rsid w:val="00EC7EA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304362028">
      <w:bodyDiv w:val="1"/>
      <w:marLeft w:val="0"/>
      <w:marRight w:val="0"/>
      <w:marTop w:val="0"/>
      <w:marBottom w:val="0"/>
      <w:divBdr>
        <w:top w:val="none" w:sz="0" w:space="0" w:color="auto"/>
        <w:left w:val="none" w:sz="0" w:space="0" w:color="auto"/>
        <w:bottom w:val="none" w:sz="0" w:space="0" w:color="auto"/>
        <w:right w:val="none" w:sz="0" w:space="0" w:color="auto"/>
      </w:divBdr>
    </w:div>
    <w:div w:id="539628245">
      <w:bodyDiv w:val="1"/>
      <w:marLeft w:val="0"/>
      <w:marRight w:val="0"/>
      <w:marTop w:val="0"/>
      <w:marBottom w:val="0"/>
      <w:divBdr>
        <w:top w:val="none" w:sz="0" w:space="0" w:color="auto"/>
        <w:left w:val="none" w:sz="0" w:space="0" w:color="auto"/>
        <w:bottom w:val="none" w:sz="0" w:space="0" w:color="auto"/>
        <w:right w:val="none" w:sz="0" w:space="0" w:color="auto"/>
      </w:divBdr>
    </w:div>
    <w:div w:id="734354479">
      <w:bodyDiv w:val="1"/>
      <w:marLeft w:val="0"/>
      <w:marRight w:val="0"/>
      <w:marTop w:val="0"/>
      <w:marBottom w:val="0"/>
      <w:divBdr>
        <w:top w:val="none" w:sz="0" w:space="0" w:color="auto"/>
        <w:left w:val="none" w:sz="0" w:space="0" w:color="auto"/>
        <w:bottom w:val="none" w:sz="0" w:space="0" w:color="auto"/>
        <w:right w:val="none" w:sz="0" w:space="0" w:color="auto"/>
      </w:divBdr>
    </w:div>
    <w:div w:id="768936995">
      <w:bodyDiv w:val="1"/>
      <w:marLeft w:val="0"/>
      <w:marRight w:val="0"/>
      <w:marTop w:val="0"/>
      <w:marBottom w:val="0"/>
      <w:divBdr>
        <w:top w:val="none" w:sz="0" w:space="0" w:color="auto"/>
        <w:left w:val="none" w:sz="0" w:space="0" w:color="auto"/>
        <w:bottom w:val="none" w:sz="0" w:space="0" w:color="auto"/>
        <w:right w:val="none" w:sz="0" w:space="0" w:color="auto"/>
      </w:divBdr>
    </w:div>
    <w:div w:id="810056759">
      <w:bodyDiv w:val="1"/>
      <w:marLeft w:val="0"/>
      <w:marRight w:val="0"/>
      <w:marTop w:val="0"/>
      <w:marBottom w:val="0"/>
      <w:divBdr>
        <w:top w:val="none" w:sz="0" w:space="0" w:color="auto"/>
        <w:left w:val="none" w:sz="0" w:space="0" w:color="auto"/>
        <w:bottom w:val="none" w:sz="0" w:space="0" w:color="auto"/>
        <w:right w:val="none" w:sz="0" w:space="0" w:color="auto"/>
      </w:divBdr>
    </w:div>
    <w:div w:id="890071691">
      <w:bodyDiv w:val="1"/>
      <w:marLeft w:val="0"/>
      <w:marRight w:val="0"/>
      <w:marTop w:val="0"/>
      <w:marBottom w:val="0"/>
      <w:divBdr>
        <w:top w:val="none" w:sz="0" w:space="0" w:color="auto"/>
        <w:left w:val="none" w:sz="0" w:space="0" w:color="auto"/>
        <w:bottom w:val="none" w:sz="0" w:space="0" w:color="auto"/>
        <w:right w:val="none" w:sz="0" w:space="0" w:color="auto"/>
      </w:divBdr>
    </w:div>
    <w:div w:id="904293403">
      <w:bodyDiv w:val="1"/>
      <w:marLeft w:val="0"/>
      <w:marRight w:val="0"/>
      <w:marTop w:val="0"/>
      <w:marBottom w:val="0"/>
      <w:divBdr>
        <w:top w:val="none" w:sz="0" w:space="0" w:color="auto"/>
        <w:left w:val="none" w:sz="0" w:space="0" w:color="auto"/>
        <w:bottom w:val="none" w:sz="0" w:space="0" w:color="auto"/>
        <w:right w:val="none" w:sz="0" w:space="0" w:color="auto"/>
      </w:divBdr>
    </w:div>
    <w:div w:id="936061025">
      <w:bodyDiv w:val="1"/>
      <w:marLeft w:val="0"/>
      <w:marRight w:val="0"/>
      <w:marTop w:val="0"/>
      <w:marBottom w:val="0"/>
      <w:divBdr>
        <w:top w:val="none" w:sz="0" w:space="0" w:color="auto"/>
        <w:left w:val="none" w:sz="0" w:space="0" w:color="auto"/>
        <w:bottom w:val="none" w:sz="0" w:space="0" w:color="auto"/>
        <w:right w:val="none" w:sz="0" w:space="0" w:color="auto"/>
      </w:divBdr>
    </w:div>
    <w:div w:id="950167540">
      <w:bodyDiv w:val="1"/>
      <w:marLeft w:val="0"/>
      <w:marRight w:val="0"/>
      <w:marTop w:val="0"/>
      <w:marBottom w:val="0"/>
      <w:divBdr>
        <w:top w:val="none" w:sz="0" w:space="0" w:color="auto"/>
        <w:left w:val="none" w:sz="0" w:space="0" w:color="auto"/>
        <w:bottom w:val="none" w:sz="0" w:space="0" w:color="auto"/>
        <w:right w:val="none" w:sz="0" w:space="0" w:color="auto"/>
      </w:divBdr>
    </w:div>
    <w:div w:id="1036151805">
      <w:bodyDiv w:val="1"/>
      <w:marLeft w:val="0"/>
      <w:marRight w:val="0"/>
      <w:marTop w:val="0"/>
      <w:marBottom w:val="0"/>
      <w:divBdr>
        <w:top w:val="none" w:sz="0" w:space="0" w:color="auto"/>
        <w:left w:val="none" w:sz="0" w:space="0" w:color="auto"/>
        <w:bottom w:val="none" w:sz="0" w:space="0" w:color="auto"/>
        <w:right w:val="none" w:sz="0" w:space="0" w:color="auto"/>
      </w:divBdr>
    </w:div>
    <w:div w:id="1089547154">
      <w:bodyDiv w:val="1"/>
      <w:marLeft w:val="0"/>
      <w:marRight w:val="0"/>
      <w:marTop w:val="0"/>
      <w:marBottom w:val="0"/>
      <w:divBdr>
        <w:top w:val="none" w:sz="0" w:space="0" w:color="auto"/>
        <w:left w:val="none" w:sz="0" w:space="0" w:color="auto"/>
        <w:bottom w:val="none" w:sz="0" w:space="0" w:color="auto"/>
        <w:right w:val="none" w:sz="0" w:space="0" w:color="auto"/>
      </w:divBdr>
    </w:div>
    <w:div w:id="1094713579">
      <w:bodyDiv w:val="1"/>
      <w:marLeft w:val="0"/>
      <w:marRight w:val="0"/>
      <w:marTop w:val="0"/>
      <w:marBottom w:val="0"/>
      <w:divBdr>
        <w:top w:val="none" w:sz="0" w:space="0" w:color="auto"/>
        <w:left w:val="none" w:sz="0" w:space="0" w:color="auto"/>
        <w:bottom w:val="none" w:sz="0" w:space="0" w:color="auto"/>
        <w:right w:val="none" w:sz="0" w:space="0" w:color="auto"/>
      </w:divBdr>
    </w:div>
    <w:div w:id="1100837954">
      <w:bodyDiv w:val="1"/>
      <w:marLeft w:val="0"/>
      <w:marRight w:val="0"/>
      <w:marTop w:val="0"/>
      <w:marBottom w:val="0"/>
      <w:divBdr>
        <w:top w:val="none" w:sz="0" w:space="0" w:color="auto"/>
        <w:left w:val="none" w:sz="0" w:space="0" w:color="auto"/>
        <w:bottom w:val="none" w:sz="0" w:space="0" w:color="auto"/>
        <w:right w:val="none" w:sz="0" w:space="0" w:color="auto"/>
      </w:divBdr>
    </w:div>
    <w:div w:id="1230077556">
      <w:bodyDiv w:val="1"/>
      <w:marLeft w:val="0"/>
      <w:marRight w:val="0"/>
      <w:marTop w:val="0"/>
      <w:marBottom w:val="0"/>
      <w:divBdr>
        <w:top w:val="none" w:sz="0" w:space="0" w:color="auto"/>
        <w:left w:val="none" w:sz="0" w:space="0" w:color="auto"/>
        <w:bottom w:val="none" w:sz="0" w:space="0" w:color="auto"/>
        <w:right w:val="none" w:sz="0" w:space="0" w:color="auto"/>
      </w:divBdr>
    </w:div>
    <w:div w:id="1240486479">
      <w:bodyDiv w:val="1"/>
      <w:marLeft w:val="0"/>
      <w:marRight w:val="0"/>
      <w:marTop w:val="0"/>
      <w:marBottom w:val="0"/>
      <w:divBdr>
        <w:top w:val="none" w:sz="0" w:space="0" w:color="auto"/>
        <w:left w:val="none" w:sz="0" w:space="0" w:color="auto"/>
        <w:bottom w:val="none" w:sz="0" w:space="0" w:color="auto"/>
        <w:right w:val="none" w:sz="0" w:space="0" w:color="auto"/>
      </w:divBdr>
    </w:div>
    <w:div w:id="1269461192">
      <w:bodyDiv w:val="1"/>
      <w:marLeft w:val="0"/>
      <w:marRight w:val="0"/>
      <w:marTop w:val="0"/>
      <w:marBottom w:val="0"/>
      <w:divBdr>
        <w:top w:val="none" w:sz="0" w:space="0" w:color="auto"/>
        <w:left w:val="none" w:sz="0" w:space="0" w:color="auto"/>
        <w:bottom w:val="none" w:sz="0" w:space="0" w:color="auto"/>
        <w:right w:val="none" w:sz="0" w:space="0" w:color="auto"/>
      </w:divBdr>
    </w:div>
    <w:div w:id="1536962453">
      <w:bodyDiv w:val="1"/>
      <w:marLeft w:val="0"/>
      <w:marRight w:val="0"/>
      <w:marTop w:val="0"/>
      <w:marBottom w:val="0"/>
      <w:divBdr>
        <w:top w:val="none" w:sz="0" w:space="0" w:color="auto"/>
        <w:left w:val="none" w:sz="0" w:space="0" w:color="auto"/>
        <w:bottom w:val="none" w:sz="0" w:space="0" w:color="auto"/>
        <w:right w:val="none" w:sz="0" w:space="0" w:color="auto"/>
      </w:divBdr>
    </w:div>
    <w:div w:id="1583560946">
      <w:bodyDiv w:val="1"/>
      <w:marLeft w:val="0"/>
      <w:marRight w:val="0"/>
      <w:marTop w:val="0"/>
      <w:marBottom w:val="0"/>
      <w:divBdr>
        <w:top w:val="none" w:sz="0" w:space="0" w:color="auto"/>
        <w:left w:val="none" w:sz="0" w:space="0" w:color="auto"/>
        <w:bottom w:val="none" w:sz="0" w:space="0" w:color="auto"/>
        <w:right w:val="none" w:sz="0" w:space="0" w:color="auto"/>
      </w:divBdr>
    </w:div>
    <w:div w:id="1697849136">
      <w:bodyDiv w:val="1"/>
      <w:marLeft w:val="0"/>
      <w:marRight w:val="0"/>
      <w:marTop w:val="0"/>
      <w:marBottom w:val="0"/>
      <w:divBdr>
        <w:top w:val="none" w:sz="0" w:space="0" w:color="auto"/>
        <w:left w:val="none" w:sz="0" w:space="0" w:color="auto"/>
        <w:bottom w:val="none" w:sz="0" w:space="0" w:color="auto"/>
        <w:right w:val="none" w:sz="0" w:space="0" w:color="auto"/>
      </w:divBdr>
    </w:div>
    <w:div w:id="1759063134">
      <w:bodyDiv w:val="1"/>
      <w:marLeft w:val="0"/>
      <w:marRight w:val="0"/>
      <w:marTop w:val="0"/>
      <w:marBottom w:val="0"/>
      <w:divBdr>
        <w:top w:val="none" w:sz="0" w:space="0" w:color="auto"/>
        <w:left w:val="none" w:sz="0" w:space="0" w:color="auto"/>
        <w:bottom w:val="none" w:sz="0" w:space="0" w:color="auto"/>
        <w:right w:val="none" w:sz="0" w:space="0" w:color="auto"/>
      </w:divBdr>
    </w:div>
    <w:div w:id="1794592275">
      <w:bodyDiv w:val="1"/>
      <w:marLeft w:val="0"/>
      <w:marRight w:val="0"/>
      <w:marTop w:val="0"/>
      <w:marBottom w:val="0"/>
      <w:divBdr>
        <w:top w:val="none" w:sz="0" w:space="0" w:color="auto"/>
        <w:left w:val="none" w:sz="0" w:space="0" w:color="auto"/>
        <w:bottom w:val="none" w:sz="0" w:space="0" w:color="auto"/>
        <w:right w:val="none" w:sz="0" w:space="0" w:color="auto"/>
      </w:divBdr>
    </w:div>
    <w:div w:id="1824391802">
      <w:bodyDiv w:val="1"/>
      <w:marLeft w:val="0"/>
      <w:marRight w:val="0"/>
      <w:marTop w:val="0"/>
      <w:marBottom w:val="0"/>
      <w:divBdr>
        <w:top w:val="none" w:sz="0" w:space="0" w:color="auto"/>
        <w:left w:val="none" w:sz="0" w:space="0" w:color="auto"/>
        <w:bottom w:val="none" w:sz="0" w:space="0" w:color="auto"/>
        <w:right w:val="none" w:sz="0" w:space="0" w:color="auto"/>
      </w:divBdr>
    </w:div>
    <w:div w:id="1880779649">
      <w:bodyDiv w:val="1"/>
      <w:marLeft w:val="0"/>
      <w:marRight w:val="0"/>
      <w:marTop w:val="0"/>
      <w:marBottom w:val="0"/>
      <w:divBdr>
        <w:top w:val="none" w:sz="0" w:space="0" w:color="auto"/>
        <w:left w:val="none" w:sz="0" w:space="0" w:color="auto"/>
        <w:bottom w:val="none" w:sz="0" w:space="0" w:color="auto"/>
        <w:right w:val="none" w:sz="0" w:space="0" w:color="auto"/>
      </w:divBdr>
    </w:div>
    <w:div w:id="1897399135">
      <w:bodyDiv w:val="1"/>
      <w:marLeft w:val="0"/>
      <w:marRight w:val="0"/>
      <w:marTop w:val="0"/>
      <w:marBottom w:val="0"/>
      <w:divBdr>
        <w:top w:val="none" w:sz="0" w:space="0" w:color="auto"/>
        <w:left w:val="none" w:sz="0" w:space="0" w:color="auto"/>
        <w:bottom w:val="none" w:sz="0" w:space="0" w:color="auto"/>
        <w:right w:val="none" w:sz="0" w:space="0" w:color="auto"/>
      </w:divBdr>
    </w:div>
    <w:div w:id="1958566606">
      <w:bodyDiv w:val="1"/>
      <w:marLeft w:val="0"/>
      <w:marRight w:val="0"/>
      <w:marTop w:val="0"/>
      <w:marBottom w:val="0"/>
      <w:divBdr>
        <w:top w:val="none" w:sz="0" w:space="0" w:color="auto"/>
        <w:left w:val="none" w:sz="0" w:space="0" w:color="auto"/>
        <w:bottom w:val="none" w:sz="0" w:space="0" w:color="auto"/>
        <w:right w:val="none" w:sz="0" w:space="0" w:color="auto"/>
      </w:divBdr>
    </w:div>
    <w:div w:id="2017463779">
      <w:bodyDiv w:val="1"/>
      <w:marLeft w:val="0"/>
      <w:marRight w:val="0"/>
      <w:marTop w:val="0"/>
      <w:marBottom w:val="0"/>
      <w:divBdr>
        <w:top w:val="none" w:sz="0" w:space="0" w:color="auto"/>
        <w:left w:val="none" w:sz="0" w:space="0" w:color="auto"/>
        <w:bottom w:val="none" w:sz="0" w:space="0" w:color="auto"/>
        <w:right w:val="none" w:sz="0" w:space="0" w:color="auto"/>
      </w:divBdr>
    </w:div>
    <w:div w:id="2114130282">
      <w:bodyDiv w:val="1"/>
      <w:marLeft w:val="0"/>
      <w:marRight w:val="0"/>
      <w:marTop w:val="0"/>
      <w:marBottom w:val="0"/>
      <w:divBdr>
        <w:top w:val="none" w:sz="0" w:space="0" w:color="auto"/>
        <w:left w:val="none" w:sz="0" w:space="0" w:color="auto"/>
        <w:bottom w:val="none" w:sz="0" w:space="0" w:color="auto"/>
        <w:right w:val="none" w:sz="0" w:space="0" w:color="auto"/>
      </w:divBdr>
    </w:div>
    <w:div w:id="2114662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hyperlink" Target="https://asiandevbank.sharepoint.com/:w:/r/teams/org_iau/FinalDocs/Templates/02%20Linked%20Documents/RRP%20Risk%20Assessment%20and%20Risk%20Management%20Plan.docx?d=wd562f74c7c3748eba36df39c6286b61b&amp;csf=1&amp;e=FgG40g" TargetMode="External"/><Relationship Id="rId42" Type="http://schemas.openxmlformats.org/officeDocument/2006/relationships/header" Target="header1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hyperlink" Target="https://asiandevbank.sharepoint.com/:w:/r/teams/org_iau/FinalDocs/Templates/02%20Linked%20Documents/RRP%20SPRSS.docx?d=wa51092d5420848d698aa4f27f4025ab3&amp;csf=1&amp;e=kczHkS" TargetMode="External"/><Relationship Id="rId38" Type="http://schemas.openxmlformats.org/officeDocument/2006/relationships/image" Target="media/image4.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header" Target="header11.xml"/><Relationship Id="rId41"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10.xml"/><Relationship Id="rId32" Type="http://schemas.openxmlformats.org/officeDocument/2006/relationships/hyperlink" Target="https://asiandevbank.sharepoint.com/:w:/r/teams/org_iau/FinalDocs/Templates/02%20Linked%20Documents/RRP%20Development%20Coordination.docx?d=wd99c8fe3b9ba40f799accd061a61ceaa&amp;csf=1&amp;e=pRtyxB" TargetMode="External"/><Relationship Id="rId37" Type="http://schemas.openxmlformats.org/officeDocument/2006/relationships/header" Target="header13.xml"/><Relationship Id="rId40" Type="http://schemas.openxmlformats.org/officeDocument/2006/relationships/image" Target="media/image6.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chart" Target="charts/chart1.xml"/><Relationship Id="rId28" Type="http://schemas.openxmlformats.org/officeDocument/2006/relationships/header" Target="header10.xml"/><Relationship Id="rId36" Type="http://schemas.openxmlformats.org/officeDocument/2006/relationships/header" Target="header12.xm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hyperlink" Target="https://www.adb.org/sites/default/files/linked-documents/cps-geo-2014-2018-sd-01.pdf" TargetMode="External"/><Relationship Id="rId44" Type="http://schemas.openxmlformats.org/officeDocument/2006/relationships/header" Target="header1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hyperlink" Target="https://www.adb.org/sites/default/files/linked-documents/cps-geo-2014-2018-sd-01.pdf" TargetMode="External"/><Relationship Id="rId35" Type="http://schemas.openxmlformats.org/officeDocument/2006/relationships/hyperlink" Target="https://asiandevbank.sharepoint.com/:w:/r/teams/org_iau/FinalDocs/Templates/02%20Linked%20Documents/RRP%20List%20of%20Ineligible%20Items.docx?d=wa7ddc811bb784c61b76e8e7e6c82bec4&amp;csf=1&amp;e=1XXJAL" TargetMode="External"/><Relationship Id="rId43" Type="http://schemas.openxmlformats.org/officeDocument/2006/relationships/header" Target="header16.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mof.ge/en/4541" TargetMode="External"/><Relationship Id="rId13" Type="http://schemas.openxmlformats.org/officeDocument/2006/relationships/hyperlink" Target="https://papers.ssrn.com/sol3/papers.cfm?abstract_id=3397813" TargetMode="External"/><Relationship Id="rId18" Type="http://schemas.openxmlformats.org/officeDocument/2006/relationships/hyperlink" Target="https://georgia.unfpa.org/sites/default/files/pub-pdf/Census%202014%20ENG.pdf" TargetMode="External"/><Relationship Id="rId26" Type="http://schemas.openxmlformats.org/officeDocument/2006/relationships/hyperlink" Target="http://gov.ge/index.php?lang_id=ENG&amp;sec_id=547&amp;info_id=75977" TargetMode="External"/><Relationship Id="rId3" Type="http://schemas.openxmlformats.org/officeDocument/2006/relationships/hyperlink" Target="https://stopcov.ge/Content/files/COVID_RESPONSE_REPORT__ENG.pdf" TargetMode="External"/><Relationship Id="rId21" Type="http://schemas.openxmlformats.org/officeDocument/2006/relationships/hyperlink" Target="https://georgia.unfpa.org/sites/default/files/pub-pdf/2.%20Ageing-Engl_Print_F.pdf" TargetMode="External"/><Relationship Id="rId34" Type="http://schemas.openxmlformats.org/officeDocument/2006/relationships/hyperlink" Target="https://www.adb.org/sites/default/files/linked-documents/cps-geo-2014-2018-sd-01.pdf" TargetMode="External"/><Relationship Id="rId7" Type="http://schemas.openxmlformats.org/officeDocument/2006/relationships/hyperlink" Target="https://mof.ge/en/4541" TargetMode="External"/><Relationship Id="rId12" Type="http://schemas.openxmlformats.org/officeDocument/2006/relationships/hyperlink" Target="https://www.nbg.gov.ge/bankjournal/index.php?m=115&amp;blog_id=190" TargetMode="External"/><Relationship Id="rId17" Type="http://schemas.openxmlformats.org/officeDocument/2006/relationships/hyperlink" Target="https://www.imf.org/en/Publications/WP/Issues/2016/12/31/From-Systemic-Banking-Crises-to-Fiscal-Costs-Risk-Factors-43101" TargetMode="External"/><Relationship Id="rId25" Type="http://schemas.openxmlformats.org/officeDocument/2006/relationships/hyperlink" Target="https://www.geostat.ge/en/modules/categories/39/wages" TargetMode="External"/><Relationship Id="rId33" Type="http://schemas.openxmlformats.org/officeDocument/2006/relationships/hyperlink" Target="https://www.adb.org/sites/default/files/institutional-document/435391/strategy-2030-main-document.pdf" TargetMode="External"/><Relationship Id="rId2" Type="http://schemas.openxmlformats.org/officeDocument/2006/relationships/hyperlink" Target="https://stopcov.ge/en" TargetMode="External"/><Relationship Id="rId16" Type="http://schemas.openxmlformats.org/officeDocument/2006/relationships/hyperlink" Target="https://www.imf.org/en/Publications/CR/Issues/2020/07/22/Georgia-Technical-Assistance-Report-Public-Sector-Balance-Sheet-and-State-Owned-Enterprises-49604" TargetMode="External"/><Relationship Id="rId20" Type="http://schemas.openxmlformats.org/officeDocument/2006/relationships/hyperlink" Target="https://www.geostat.ge/en/modules/categories/192/living-conditions" TargetMode="External"/><Relationship Id="rId29" Type="http://schemas.openxmlformats.org/officeDocument/2006/relationships/hyperlink" Target="https://www.adb.org/sites/default/files/project-documents/52161/52161-002-tar-en.pdf" TargetMode="External"/><Relationship Id="rId1" Type="http://schemas.openxmlformats.org/officeDocument/2006/relationships/hyperlink" Target="https://www.adb.org/sites/default/files/institutional-document/579616/adbs-comprehensive-response-covid-19-pandemic-redacted-version.pdf" TargetMode="External"/><Relationship Id="rId6" Type="http://schemas.openxmlformats.org/officeDocument/2006/relationships/hyperlink" Target="https://mof.ge/5261" TargetMode="External"/><Relationship Id="rId11" Type="http://schemas.openxmlformats.org/officeDocument/2006/relationships/hyperlink" Target="https://mof.ge/en/5232" TargetMode="External"/><Relationship Id="rId24" Type="http://schemas.openxmlformats.org/officeDocument/2006/relationships/hyperlink" Target="https://www.geostat.ge/en/modules/categories/38/employment-and-unemployment" TargetMode="External"/><Relationship Id="rId32" Type="http://schemas.openxmlformats.org/officeDocument/2006/relationships/hyperlink" Target="https://www.adb.org/sites/default/files/evaluation-document/469646/files/pvr-554.pdf" TargetMode="External"/><Relationship Id="rId37" Type="http://schemas.openxmlformats.org/officeDocument/2006/relationships/hyperlink" Target="https://www.geostat.ge/en/modules/categories/192/living-conditions" TargetMode="External"/><Relationship Id="rId5" Type="http://schemas.openxmlformats.org/officeDocument/2006/relationships/hyperlink" Target="https://www.nbg.gov.ge/uploads/publications/moneratyfiscal/2020/tvis_mimoxilva/tvis_mimoxilva_ivnisi.pdf" TargetMode="External"/><Relationship Id="rId15" Type="http://schemas.openxmlformats.org/officeDocument/2006/relationships/hyperlink" Target="https://www.nbg.gov.ge/bankjournal/index.php?m=115&amp;blog_id=190" TargetMode="External"/><Relationship Id="rId23" Type="http://schemas.openxmlformats.org/officeDocument/2006/relationships/hyperlink" Target="https://iset-pi.ge/index.php/en/education-social-policy-policy-briefs/2589-the-social-impacts-of-covid-19-case-for-a-universal-support-scheme" TargetMode="External"/><Relationship Id="rId28" Type="http://schemas.openxmlformats.org/officeDocument/2006/relationships/hyperlink" Target="https://www.adb.org/sites/default/files/project-document/150104/48044-001-rrp.pdf" TargetMode="External"/><Relationship Id="rId36" Type="http://schemas.openxmlformats.org/officeDocument/2006/relationships/hyperlink" Target="https://www.pefa.org/node/276" TargetMode="External"/><Relationship Id="rId10" Type="http://schemas.openxmlformats.org/officeDocument/2006/relationships/hyperlink" Target="https://mof.ge/en/4541" TargetMode="External"/><Relationship Id="rId19" Type="http://schemas.openxmlformats.org/officeDocument/2006/relationships/hyperlink" Target="https://www.geostat.ge/en/modules/categories/192/living-conditions" TargetMode="External"/><Relationship Id="rId31" Type="http://schemas.openxmlformats.org/officeDocument/2006/relationships/hyperlink" Target="https://www.adb.org/projects/documents/geo-48044-004-pcr" TargetMode="External"/><Relationship Id="rId4" Type="http://schemas.openxmlformats.org/officeDocument/2006/relationships/hyperlink" Target="https://www.adb.org/sites/default/files/publication/635666/ado2020-update.pdf" TargetMode="External"/><Relationship Id="rId9" Type="http://schemas.openxmlformats.org/officeDocument/2006/relationships/hyperlink" Target="https://www.imf.org/en/Publications/CR/Issues/2020/07/22/Georgia-Technical-Assistance-Report-Public-Sector-Balance-Sheet-and-State-Owned-Enterprises-49604" TargetMode="External"/><Relationship Id="rId14" Type="http://schemas.openxmlformats.org/officeDocument/2006/relationships/hyperlink" Target="https://www.imf.org/en/Publications/CR/Issues/2020/07/22/Georgia-Technical-Assistance-Report-Public-Sector-Balance-Sheet-and-State-Owned-Enterprises-49604" TargetMode="External"/><Relationship Id="rId22" Type="http://schemas.openxmlformats.org/officeDocument/2006/relationships/hyperlink" Target="https://www.geostat.ge/en/modules/categories/38/employment-and-unemployment" TargetMode="External"/><Relationship Id="rId27" Type="http://schemas.openxmlformats.org/officeDocument/2006/relationships/hyperlink" Target="https://www.adb.org/sites/default/files/project-documents/54191/54191-001-rrp-en.pdf" TargetMode="External"/><Relationship Id="rId30" Type="http://schemas.openxmlformats.org/officeDocument/2006/relationships/hyperlink" Target="https://www.adb.org/sites/default/files/project-documents/54079/54079-001-tar-en.pdf" TargetMode="External"/><Relationship Id="rId35" Type="http://schemas.openxmlformats.org/officeDocument/2006/relationships/hyperlink" Target="https://mof.ge/images/File/strategia/2020/PFMRS%202018-2021%20ENG.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GAY\LOCALS~1\Temp\notesB8E105\RRPProjectLoan_2007a.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embeddings/oleObject10.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Sheet1!$A$3</c:f>
              <c:strCache>
                <c:ptCount val="1"/>
                <c:pt idx="0">
                  <c:v>Baseline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Sheet1!$B$1:$G$2</c:f>
              <c:multiLvlStrCache>
                <c:ptCount val="6"/>
                <c:lvl>
                  <c:pt idx="0">
                    <c:v>National poverty line</c:v>
                  </c:pt>
                  <c:pt idx="1">
                    <c:v>$3.2 line</c:v>
                  </c:pt>
                  <c:pt idx="2">
                    <c:v>National poverty line</c:v>
                  </c:pt>
                  <c:pt idx="3">
                    <c:v>$3.2 line</c:v>
                  </c:pt>
                  <c:pt idx="4">
                    <c:v>National poverty line</c:v>
                  </c:pt>
                  <c:pt idx="5">
                    <c:v>$3.2 line</c:v>
                  </c:pt>
                </c:lvl>
                <c:lvl>
                  <c:pt idx="0">
                    <c:v>No pensioner</c:v>
                  </c:pt>
                  <c:pt idx="2">
                    <c:v>One pensioner</c:v>
                  </c:pt>
                  <c:pt idx="4">
                    <c:v>Two or more pensioners</c:v>
                  </c:pt>
                </c:lvl>
              </c:multiLvlStrCache>
            </c:multiLvlStrRef>
          </c:cat>
          <c:val>
            <c:numRef>
              <c:f>Sheet1!$B$3:$G$3</c:f>
              <c:numCache>
                <c:formatCode>General</c:formatCode>
                <c:ptCount val="6"/>
                <c:pt idx="0">
                  <c:v>19.3</c:v>
                </c:pt>
                <c:pt idx="1">
                  <c:v>13.6</c:v>
                </c:pt>
                <c:pt idx="2">
                  <c:v>16.8</c:v>
                </c:pt>
                <c:pt idx="3">
                  <c:v>12</c:v>
                </c:pt>
                <c:pt idx="4">
                  <c:v>12.5</c:v>
                </c:pt>
                <c:pt idx="5">
                  <c:v>8.3000000000000007</c:v>
                </c:pt>
              </c:numCache>
            </c:numRef>
          </c:val>
          <c:extLst>
            <c:ext xmlns:c16="http://schemas.microsoft.com/office/drawing/2014/chart" uri="{C3380CC4-5D6E-409C-BE32-E72D297353CC}">
              <c16:uniqueId val="{00000000-23C9-4193-9B2A-AA7317979F49}"/>
            </c:ext>
          </c:extLst>
        </c:ser>
        <c:ser>
          <c:idx val="1"/>
          <c:order val="1"/>
          <c:tx>
            <c:strRef>
              <c:f>Sheet1!$A$4</c:f>
              <c:strCache>
                <c:ptCount val="1"/>
                <c:pt idx="0">
                  <c:v>Lockdown</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Sheet1!$B$1:$G$2</c:f>
              <c:multiLvlStrCache>
                <c:ptCount val="6"/>
                <c:lvl>
                  <c:pt idx="0">
                    <c:v>National poverty line</c:v>
                  </c:pt>
                  <c:pt idx="1">
                    <c:v>$3.2 line</c:v>
                  </c:pt>
                  <c:pt idx="2">
                    <c:v>National poverty line</c:v>
                  </c:pt>
                  <c:pt idx="3">
                    <c:v>$3.2 line</c:v>
                  </c:pt>
                  <c:pt idx="4">
                    <c:v>National poverty line</c:v>
                  </c:pt>
                  <c:pt idx="5">
                    <c:v>$3.2 line</c:v>
                  </c:pt>
                </c:lvl>
                <c:lvl>
                  <c:pt idx="0">
                    <c:v>No pensioner</c:v>
                  </c:pt>
                  <c:pt idx="2">
                    <c:v>One pensioner</c:v>
                  </c:pt>
                  <c:pt idx="4">
                    <c:v>Two or more pensioners</c:v>
                  </c:pt>
                </c:lvl>
              </c:multiLvlStrCache>
            </c:multiLvlStrRef>
          </c:cat>
          <c:val>
            <c:numRef>
              <c:f>Sheet1!$B$4:$G$4</c:f>
              <c:numCache>
                <c:formatCode>General</c:formatCode>
                <c:ptCount val="6"/>
                <c:pt idx="0">
                  <c:v>50.4</c:v>
                </c:pt>
                <c:pt idx="1">
                  <c:v>44.6</c:v>
                </c:pt>
                <c:pt idx="2">
                  <c:v>40.200000000000003</c:v>
                </c:pt>
                <c:pt idx="3">
                  <c:v>34.299999999999997</c:v>
                </c:pt>
                <c:pt idx="4">
                  <c:v>29.6</c:v>
                </c:pt>
                <c:pt idx="5">
                  <c:v>24.3</c:v>
                </c:pt>
              </c:numCache>
            </c:numRef>
          </c:val>
          <c:extLst>
            <c:ext xmlns:c16="http://schemas.microsoft.com/office/drawing/2014/chart" uri="{C3380CC4-5D6E-409C-BE32-E72D297353CC}">
              <c16:uniqueId val="{00000001-23C9-4193-9B2A-AA7317979F49}"/>
            </c:ext>
          </c:extLst>
        </c:ser>
        <c:ser>
          <c:idx val="2"/>
          <c:order val="2"/>
          <c:tx>
            <c:strRef>
              <c:f>Sheet1!$A$5</c:f>
              <c:strCache>
                <c:ptCount val="1"/>
                <c:pt idx="0">
                  <c:v>Mitigation</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Sheet1!$B$1:$G$2</c:f>
              <c:multiLvlStrCache>
                <c:ptCount val="6"/>
                <c:lvl>
                  <c:pt idx="0">
                    <c:v>National poverty line</c:v>
                  </c:pt>
                  <c:pt idx="1">
                    <c:v>$3.2 line</c:v>
                  </c:pt>
                  <c:pt idx="2">
                    <c:v>National poverty line</c:v>
                  </c:pt>
                  <c:pt idx="3">
                    <c:v>$3.2 line</c:v>
                  </c:pt>
                  <c:pt idx="4">
                    <c:v>National poverty line</c:v>
                  </c:pt>
                  <c:pt idx="5">
                    <c:v>$3.2 line</c:v>
                  </c:pt>
                </c:lvl>
                <c:lvl>
                  <c:pt idx="0">
                    <c:v>No pensioner</c:v>
                  </c:pt>
                  <c:pt idx="2">
                    <c:v>One pensioner</c:v>
                  </c:pt>
                  <c:pt idx="4">
                    <c:v>Two or more pensioners</c:v>
                  </c:pt>
                </c:lvl>
              </c:multiLvlStrCache>
            </c:multiLvlStrRef>
          </c:cat>
          <c:val>
            <c:numRef>
              <c:f>Sheet1!$B$5:$G$5</c:f>
              <c:numCache>
                <c:formatCode>General</c:formatCode>
                <c:ptCount val="6"/>
                <c:pt idx="0">
                  <c:v>34.4</c:v>
                </c:pt>
                <c:pt idx="1">
                  <c:v>27.6</c:v>
                </c:pt>
                <c:pt idx="2">
                  <c:v>25.6</c:v>
                </c:pt>
                <c:pt idx="3">
                  <c:v>20.9</c:v>
                </c:pt>
                <c:pt idx="4">
                  <c:v>18.100000000000001</c:v>
                </c:pt>
                <c:pt idx="5">
                  <c:v>14</c:v>
                </c:pt>
              </c:numCache>
            </c:numRef>
          </c:val>
          <c:extLst>
            <c:ext xmlns:c16="http://schemas.microsoft.com/office/drawing/2014/chart" uri="{C3380CC4-5D6E-409C-BE32-E72D297353CC}">
              <c16:uniqueId val="{00000002-23C9-4193-9B2A-AA7317979F49}"/>
            </c:ext>
          </c:extLst>
        </c:ser>
        <c:dLbls>
          <c:showLegendKey val="0"/>
          <c:showVal val="0"/>
          <c:showCatName val="0"/>
          <c:showSerName val="0"/>
          <c:showPercent val="0"/>
          <c:showBubbleSize val="0"/>
        </c:dLbls>
        <c:gapWidth val="219"/>
        <c:overlap val="-27"/>
        <c:axId val="1307748031"/>
        <c:axId val="1410582031"/>
      </c:barChart>
      <c:catAx>
        <c:axId val="1307748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10582031"/>
        <c:crosses val="autoZero"/>
        <c:auto val="1"/>
        <c:lblAlgn val="ctr"/>
        <c:lblOffset val="100"/>
        <c:noMultiLvlLbl val="0"/>
      </c:catAx>
      <c:valAx>
        <c:axId val="1410582031"/>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307748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Sheet1!$A$3</c:f>
              <c:strCache>
                <c:ptCount val="1"/>
                <c:pt idx="0">
                  <c:v>Baseline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Sheet1!$B$1:$G$2</c:f>
              <c:multiLvlStrCache>
                <c:ptCount val="6"/>
                <c:lvl>
                  <c:pt idx="0">
                    <c:v>National poverty line</c:v>
                  </c:pt>
                  <c:pt idx="1">
                    <c:v>$3.2 line</c:v>
                  </c:pt>
                  <c:pt idx="2">
                    <c:v>National poverty line</c:v>
                  </c:pt>
                  <c:pt idx="3">
                    <c:v>$3.2 line</c:v>
                  </c:pt>
                  <c:pt idx="4">
                    <c:v>National poverty line</c:v>
                  </c:pt>
                  <c:pt idx="5">
                    <c:v>$3.2 line</c:v>
                  </c:pt>
                </c:lvl>
                <c:lvl>
                  <c:pt idx="0">
                    <c:v>No pensioner</c:v>
                  </c:pt>
                  <c:pt idx="2">
                    <c:v>One pensioner</c:v>
                  </c:pt>
                  <c:pt idx="4">
                    <c:v>Two or more pensioners</c:v>
                  </c:pt>
                </c:lvl>
              </c:multiLvlStrCache>
            </c:multiLvlStrRef>
          </c:cat>
          <c:val>
            <c:numRef>
              <c:f>Sheet1!$B$3:$G$3</c:f>
              <c:numCache>
                <c:formatCode>General</c:formatCode>
                <c:ptCount val="6"/>
                <c:pt idx="0">
                  <c:v>19.3</c:v>
                </c:pt>
                <c:pt idx="1">
                  <c:v>13.6</c:v>
                </c:pt>
                <c:pt idx="2">
                  <c:v>16.8</c:v>
                </c:pt>
                <c:pt idx="3">
                  <c:v>12</c:v>
                </c:pt>
                <c:pt idx="4">
                  <c:v>12.5</c:v>
                </c:pt>
                <c:pt idx="5">
                  <c:v>8.3000000000000007</c:v>
                </c:pt>
              </c:numCache>
            </c:numRef>
          </c:val>
          <c:extLst>
            <c:ext xmlns:c16="http://schemas.microsoft.com/office/drawing/2014/chart" uri="{C3380CC4-5D6E-409C-BE32-E72D297353CC}">
              <c16:uniqueId val="{00000000-23C9-4193-9B2A-AA7317979F49}"/>
            </c:ext>
          </c:extLst>
        </c:ser>
        <c:ser>
          <c:idx val="1"/>
          <c:order val="1"/>
          <c:tx>
            <c:strRef>
              <c:f>Sheet1!$A$4</c:f>
              <c:strCache>
                <c:ptCount val="1"/>
                <c:pt idx="0">
                  <c:v>Lockdown</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Sheet1!$B$1:$G$2</c:f>
              <c:multiLvlStrCache>
                <c:ptCount val="6"/>
                <c:lvl>
                  <c:pt idx="0">
                    <c:v>National poverty line</c:v>
                  </c:pt>
                  <c:pt idx="1">
                    <c:v>$3.2 line</c:v>
                  </c:pt>
                  <c:pt idx="2">
                    <c:v>National poverty line</c:v>
                  </c:pt>
                  <c:pt idx="3">
                    <c:v>$3.2 line</c:v>
                  </c:pt>
                  <c:pt idx="4">
                    <c:v>National poverty line</c:v>
                  </c:pt>
                  <c:pt idx="5">
                    <c:v>$3.2 line</c:v>
                  </c:pt>
                </c:lvl>
                <c:lvl>
                  <c:pt idx="0">
                    <c:v>No pensioner</c:v>
                  </c:pt>
                  <c:pt idx="2">
                    <c:v>One pensioner</c:v>
                  </c:pt>
                  <c:pt idx="4">
                    <c:v>Two or more pensioners</c:v>
                  </c:pt>
                </c:lvl>
              </c:multiLvlStrCache>
            </c:multiLvlStrRef>
          </c:cat>
          <c:val>
            <c:numRef>
              <c:f>Sheet1!$B$4:$G$4</c:f>
              <c:numCache>
                <c:formatCode>General</c:formatCode>
                <c:ptCount val="6"/>
                <c:pt idx="0">
                  <c:v>50.4</c:v>
                </c:pt>
                <c:pt idx="1">
                  <c:v>44.6</c:v>
                </c:pt>
                <c:pt idx="2">
                  <c:v>40.200000000000003</c:v>
                </c:pt>
                <c:pt idx="3">
                  <c:v>34.299999999999997</c:v>
                </c:pt>
                <c:pt idx="4">
                  <c:v>29.6</c:v>
                </c:pt>
                <c:pt idx="5">
                  <c:v>24.3</c:v>
                </c:pt>
              </c:numCache>
            </c:numRef>
          </c:val>
          <c:extLst>
            <c:ext xmlns:c16="http://schemas.microsoft.com/office/drawing/2014/chart" uri="{C3380CC4-5D6E-409C-BE32-E72D297353CC}">
              <c16:uniqueId val="{00000001-23C9-4193-9B2A-AA7317979F49}"/>
            </c:ext>
          </c:extLst>
        </c:ser>
        <c:ser>
          <c:idx val="2"/>
          <c:order val="2"/>
          <c:tx>
            <c:strRef>
              <c:f>Sheet1!$A$5</c:f>
              <c:strCache>
                <c:ptCount val="1"/>
                <c:pt idx="0">
                  <c:v>Mitigation</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Sheet1!$B$1:$G$2</c:f>
              <c:multiLvlStrCache>
                <c:ptCount val="6"/>
                <c:lvl>
                  <c:pt idx="0">
                    <c:v>National poverty line</c:v>
                  </c:pt>
                  <c:pt idx="1">
                    <c:v>$3.2 line</c:v>
                  </c:pt>
                  <c:pt idx="2">
                    <c:v>National poverty line</c:v>
                  </c:pt>
                  <c:pt idx="3">
                    <c:v>$3.2 line</c:v>
                  </c:pt>
                  <c:pt idx="4">
                    <c:v>National poverty line</c:v>
                  </c:pt>
                  <c:pt idx="5">
                    <c:v>$3.2 line</c:v>
                  </c:pt>
                </c:lvl>
                <c:lvl>
                  <c:pt idx="0">
                    <c:v>No pensioner</c:v>
                  </c:pt>
                  <c:pt idx="2">
                    <c:v>One pensioner</c:v>
                  </c:pt>
                  <c:pt idx="4">
                    <c:v>Two or more pensioners</c:v>
                  </c:pt>
                </c:lvl>
              </c:multiLvlStrCache>
            </c:multiLvlStrRef>
          </c:cat>
          <c:val>
            <c:numRef>
              <c:f>Sheet1!$B$5:$G$5</c:f>
              <c:numCache>
                <c:formatCode>General</c:formatCode>
                <c:ptCount val="6"/>
                <c:pt idx="0">
                  <c:v>34.4</c:v>
                </c:pt>
                <c:pt idx="1">
                  <c:v>27.6</c:v>
                </c:pt>
                <c:pt idx="2">
                  <c:v>25.6</c:v>
                </c:pt>
                <c:pt idx="3">
                  <c:v>20.9</c:v>
                </c:pt>
                <c:pt idx="4">
                  <c:v>18.100000000000001</c:v>
                </c:pt>
                <c:pt idx="5">
                  <c:v>14</c:v>
                </c:pt>
              </c:numCache>
            </c:numRef>
          </c:val>
          <c:extLst>
            <c:ext xmlns:c16="http://schemas.microsoft.com/office/drawing/2014/chart" uri="{C3380CC4-5D6E-409C-BE32-E72D297353CC}">
              <c16:uniqueId val="{00000002-23C9-4193-9B2A-AA7317979F49}"/>
            </c:ext>
          </c:extLst>
        </c:ser>
        <c:dLbls>
          <c:showLegendKey val="0"/>
          <c:showVal val="0"/>
          <c:showCatName val="0"/>
          <c:showSerName val="0"/>
          <c:showPercent val="0"/>
          <c:showBubbleSize val="0"/>
        </c:dLbls>
        <c:gapWidth val="219"/>
        <c:overlap val="-27"/>
        <c:axId val="1307748031"/>
        <c:axId val="1410582031"/>
      </c:barChart>
      <c:catAx>
        <c:axId val="1307748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10582031"/>
        <c:crosses val="autoZero"/>
        <c:auto val="1"/>
        <c:lblAlgn val="ctr"/>
        <c:lblOffset val="100"/>
        <c:noMultiLvlLbl val="0"/>
      </c:catAx>
      <c:valAx>
        <c:axId val="1410582031"/>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307748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j78542b1fffc4a1c84659474212e3133 xmlns="c1fdd505-2570-46c2-bd04-3e0f2d874cf5">
      <Terms xmlns="http://schemas.microsoft.com/office/infopath/2007/PartnerControls">
        <TermInfo xmlns="http://schemas.microsoft.com/office/infopath/2007/PartnerControls">
          <TermName xmlns="http://schemas.microsoft.com/office/infopath/2007/PartnerControls">SEC</TermName>
          <TermId xmlns="http://schemas.microsoft.com/office/infopath/2007/PartnerControls">0251849c-5d26-4413-ade9-2e3ee268b27b</TermId>
        </TermInfo>
      </Terms>
    </j78542b1fffc4a1c84659474212e3133>
    <ADBDocumentTypeValue xmlns="c1fdd505-2570-46c2-bd04-3e0f2d874cf5">Templates</ADBDocumentTypeValue>
    <p030e467f78f45b4ae8f7e2c17ea4d82 xmlns="c1fdd505-2570-46c2-bd04-3e0f2d874cf5">
      <Terms xmlns="http://schemas.microsoft.com/office/infopath/2007/PartnerControls">
        <TermInfo xmlns="http://schemas.microsoft.com/office/infopath/2007/PartnerControls">
          <TermName xmlns="http://schemas.microsoft.com/office/infopath/2007/PartnerControls">Internal</TermName>
          <TermId xmlns="http://schemas.microsoft.com/office/infopath/2007/PartnerControls">ff6db7ea-0dcf-4d09-b0cb-cd0269360b0f</TermId>
        </TermInfo>
      </Terms>
    </p030e467f78f45b4ae8f7e2c17ea4d82>
    <ADBDocumentDate xmlns="c1fdd505-2570-46c2-bd04-3e0f2d874cf5">2018-09-25T16:00:00+00:00</ADBDocumentDate>
    <k985dbdc596c44d7acaf8184f33920f0 xmlns="c1fdd505-2570-46c2-bd04-3e0f2d874cf5">
      <Terms xmlns="http://schemas.microsoft.com/office/infopath/2007/PartnerControls"/>
    </k985dbdc596c44d7acaf8184f33920f0>
    <ADBMonth xmlns="c1fdd505-2570-46c2-bd04-3e0f2d874cf5">Sep</ADBMonth>
    <d61536b25a8a4fedb48bb564279be82a xmlns="c1fdd505-2570-46c2-bd04-3e0f2d874cf5">
      <Terms xmlns="http://schemas.microsoft.com/office/infopath/2007/PartnerControls">
        <TermInfo xmlns="http://schemas.microsoft.com/office/infopath/2007/PartnerControls">
          <TermName xmlns="http://schemas.microsoft.com/office/infopath/2007/PartnerControls">SEC</TermName>
          <TermId xmlns="http://schemas.microsoft.com/office/infopath/2007/PartnerControls">0251849c-5d26-4413-ade9-2e3ee268b27b</TermId>
        </TermInfo>
      </Terms>
    </d61536b25a8a4fedb48bb564279be82a>
    <TaxCatchAll xmlns="c1fdd505-2570-46c2-bd04-3e0f2d874cf5">
      <Value>20</Value>
      <Value>19</Value>
      <Value>18</Value>
      <Value>1</Value>
      <Value>4</Value>
    </TaxCatchAll>
    <ADBYear xmlns="c1fdd505-2570-46c2-bd04-3e0f2d874cf5">2018</ADBYear>
    <ADBAuthors xmlns="c1fdd505-2570-46c2-bd04-3e0f2d874cf5">
      <UserInfo>
        <DisplayName>arocampo@adb.org</DisplayName>
        <AccountId>110</AccountId>
        <AccountType/>
      </UserInfo>
    </ADBAuthors>
    <h00e4aaaf4624e24a7df7f06faa038c6 xmlns="c1fdd505-2570-46c2-bd04-3e0f2d874cf5">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16ac8743-31bb-43f8-9a73-533a041667d6</TermId>
        </TermInfo>
      </Terms>
    </h00e4aaaf4624e24a7df7f06faa038c6>
    <d01a0ce1b141461dbfb235a3ab729a2c xmlns="c1fdd505-2570-46c2-bd04-3e0f2d874cf5">
      <Terms xmlns="http://schemas.microsoft.com/office/infopath/2007/PartnerControls"/>
    </d01a0ce1b141461dbfb235a3ab729a2c>
    <ADBSourceLink xmlns="c1fdd505-2570-46c2-bd04-3e0f2d874cf5">
      <Url>https://asiandevbank.sharepoint.com/teams/org_iau/Shared%20Documents/Templates/Board%20Document%20Templates/01%20Main%20Text/RRP%20Policy-Based%20Lending.docx?d=w04fdf7b116334539b8c54a2b62ad4c48</Url>
      <Description>https://asiandevbank.sharepoint.com/teams/org_iau/Shared Documents/Templates/Board Document Templates/01 Main Text/RRP%20Policy-Based%20Lending.docx?d=w04fdf7b116334539b8c54a2b62ad4c48</Description>
    </ADBSourceLink>
    <ADBCirculatedLink xmlns="c1fdd505-2570-46c2-bd04-3e0f2d874cf5">
      <Url>https://asiandevbank.sharepoint.com/teams/org_iau/finaldocs/Templates/01%20Main%20Text/RRP%20Policy-Based%20Lending.docx?d=waf35610c616643be85dab9b23fd550c1</Url>
      <Description>https://asiandevbank.sharepoint.com/teams/org_iau/finaldocs/Templates/01 Main Text/RRP Policy-Based Lending.docx?d=waf35610c616643be85dab9b23fd550c1</Description>
    </ADBCirculatedLink>
    <MediaServiceFastMetadata xmlns="290cdaa3-c638-499a-8e5b-01a05382d52d" xsi:nil="true"/>
    <MediaServiceMetadata xmlns="290cdaa3-c638-499a-8e5b-01a05382d52d" xsi:nil="true"/>
    <SharedWithUsers xmlns="de7c83af-6e2a-468d-b74a-8ed3e8c19c66">
      <UserInfo>
        <DisplayName>SharingLinks.2edf7be2-c75e-498d-9146-e455e17f382c.Flexible.7509c255-1ad7-4387-8f3c-4c682eff36ed</DisplayName>
        <AccountId>507</AccountId>
        <AccountType/>
      </UserInfo>
      <UserInfo>
        <DisplayName>Kristian Rosbach</DisplayName>
        <AccountId>557</AccountId>
        <AccountType/>
      </UserInfo>
      <UserInfo>
        <DisplayName>Michiel Van Der Auwera</DisplayName>
        <AccountId>562</AccountId>
        <AccountType/>
      </UserInfo>
      <UserInfo>
        <DisplayName>Tamar Tsiklauri</DisplayName>
        <AccountId>532</AccountId>
        <AccountType/>
      </UserInfo>
      <UserInfo>
        <DisplayName>Robert A. Boothe</DisplayName>
        <AccountId>716</AccountId>
        <AccountType/>
      </UserInfo>
      <UserInfo>
        <DisplayName>Alexander Joseph Julian</DisplayName>
        <AccountId>102</AccountId>
        <AccountType/>
      </UserInfo>
      <UserInfo>
        <DisplayName>Lindsay Marie Renaud</DisplayName>
        <AccountId>577</AccountId>
        <AccountType/>
      </UserInfo>
      <UserInfo>
        <DisplayName>Mary Alice G. Rosero</DisplayName>
        <AccountId>423</AccountId>
        <AccountType/>
      </UserInfo>
      <UserInfo>
        <DisplayName>Ketevan Chkheidze</DisplayName>
        <AccountId>726</AccountId>
        <AccountType/>
      </UserInfo>
      <UserInfo>
        <DisplayName>Mariane N. Sual</DisplayName>
        <AccountId>104</AccountId>
        <AccountType/>
      </UserInfo>
      <UserInfo>
        <DisplayName>Kaukab H. Naqvi</DisplayName>
        <AccountId>183</AccountId>
        <AccountType/>
      </UserInfo>
      <UserInfo>
        <DisplayName>Rana Hasan</DisplayName>
        <AccountId>727</AccountId>
        <AccountType/>
      </UserInfo>
    </SharedWithUsers>
    <hca2169e3b0945318411f30479ba40c8 xmlns="c1fdd505-2570-46c2-bd04-3e0f2d874cf5">
      <Terms xmlns="http://schemas.microsoft.com/office/infopath/2007/PartnerControls"/>
    </hca2169e3b0945318411f30479ba40c8>
    <a0d1b14b197747dfafc19f70ff45d4f6 xmlns="c1fdd505-2570-46c2-bd04-3e0f2d874cf5">
      <Terms xmlns="http://schemas.microsoft.com/office/infopath/2007/PartnerControls"/>
    </a0d1b14b197747dfafc19f70ff45d4f6>
    <ia017ac09b1942648b563fe0b2b14d52 xmlns="c1fdd505-2570-46c2-bd04-3e0f2d874cf5">
      <Terms xmlns="http://schemas.microsoft.com/office/infopath/2007/PartnerControls">
        <TermInfo xmlns="http://schemas.microsoft.com/office/infopath/2007/PartnerControls">
          <TermName xmlns="http://schemas.microsoft.com/office/infopath/2007/PartnerControls">CWPF</TermName>
          <TermId xmlns="http://schemas.microsoft.com/office/infopath/2007/PartnerControls">14fb442e-d1a4-4c70-b930-46052dddc16a</TermId>
        </TermInfo>
      </Terms>
    </ia017ac09b1942648b563fe0b2b14d52>
    <h35d3bd3f16b4964a022bfaedf90233f xmlns="c1fdd505-2570-46c2-bd04-3e0f2d874cf5">
      <Terms xmlns="http://schemas.microsoft.com/office/infopath/2007/PartnerControls"/>
    </h35d3bd3f16b4964a022bfaedf90233f>
    <_Flow_SignoffStatus xmlns="290cdaa3-c638-499a-8e5b-01a05382d52d" xsi:nil="true"/>
    <kc098dd651dc4f4b9248417ab8ccab6f xmlns="c1fdd505-2570-46c2-bd04-3e0f2d874cf5">
      <Terms xmlns="http://schemas.microsoft.com/office/infopath/2007/PartnerControls"/>
    </kc098dd651dc4f4b9248417ab8ccab6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3baf70b-9d20-46e6-a2d2-5b92398ba0bc" ContentTypeId="0x010100A3BFD338C4D69F46BE33AA49AB508701" PreviousValue="true"/>
</file>

<file path=customXml/item4.xml><?xml version="1.0" encoding="utf-8"?>
<ct:contentTypeSchema xmlns:ct="http://schemas.microsoft.com/office/2006/metadata/contentType" xmlns:ma="http://schemas.microsoft.com/office/2006/metadata/properties/metaAttributes" ct:_="" ma:_="" ma:contentTypeName="ADB Project Document" ma:contentTypeID="0x010100A3BFD338C4D69F46BE33AA49AB50870100C520B00D8BB20C45814389052060F14C" ma:contentTypeVersion="19" ma:contentTypeDescription="" ma:contentTypeScope="" ma:versionID="856d6b802aed8d647d999a3bdbdac1e1">
  <xsd:schema xmlns:xsd="http://www.w3.org/2001/XMLSchema" xmlns:xs="http://www.w3.org/2001/XMLSchema" xmlns:p="http://schemas.microsoft.com/office/2006/metadata/properties" xmlns:ns2="c1fdd505-2570-46c2-bd04-3e0f2d874cf5" xmlns:ns3="290cdaa3-c638-499a-8e5b-01a05382d52d" xmlns:ns4="de7c83af-6e2a-468d-b74a-8ed3e8c19c66" targetNamespace="http://schemas.microsoft.com/office/2006/metadata/properties" ma:root="true" ma:fieldsID="1c329e54dcaba94a894f24ea107c22e9" ns2:_="" ns3:_="" ns4:_="">
    <xsd:import namespace="c1fdd505-2570-46c2-bd04-3e0f2d874cf5"/>
    <xsd:import namespace="290cdaa3-c638-499a-8e5b-01a05382d52d"/>
    <xsd:import namespace="de7c83af-6e2a-468d-b74a-8ed3e8c19c66"/>
    <xsd:element name="properties">
      <xsd:complexType>
        <xsd:sequence>
          <xsd:element name="documentManagement">
            <xsd:complexType>
              <xsd:all>
                <xsd:element ref="ns2:ADBDocumentDate" minOccurs="0"/>
                <xsd:element ref="ns2:ADBMonth" minOccurs="0"/>
                <xsd:element ref="ns2:ADBYear" minOccurs="0"/>
                <xsd:element ref="ns2:ADBAuthors" minOccurs="0"/>
                <xsd:element ref="ns2:ADBSourceLink" minOccurs="0"/>
                <xsd:element ref="ns2:ADBCirculatedLink" minOccurs="0"/>
                <xsd:element ref="ns2:a0d1b14b197747dfafc19f70ff45d4f6" minOccurs="0"/>
                <xsd:element ref="ns2:d01a0ce1b141461dbfb235a3ab729a2c" minOccurs="0"/>
                <xsd:element ref="ns2:TaxCatchAll" minOccurs="0"/>
                <xsd:element ref="ns2:hca2169e3b0945318411f30479ba40c8" minOccurs="0"/>
                <xsd:element ref="ns2:p030e467f78f45b4ae8f7e2c17ea4d82" minOccurs="0"/>
                <xsd:element ref="ns2:h00e4aaaf4624e24a7df7f06faa038c6" minOccurs="0"/>
                <xsd:element ref="ns2:d61536b25a8a4fedb48bb564279be82a" minOccurs="0"/>
                <xsd:element ref="ns2:j78542b1fffc4a1c84659474212e3133" minOccurs="0"/>
                <xsd:element ref="ns2:ADBDocumentTypeValue" minOccurs="0"/>
                <xsd:element ref="ns2:ia017ac09b1942648b563fe0b2b14d52" minOccurs="0"/>
                <xsd:element ref="ns2:h35d3bd3f16b4964a022bfaedf90233f" minOccurs="0"/>
                <xsd:element ref="ns2:kc098dd651dc4f4b9248417ab8ccab6f" minOccurs="0"/>
                <xsd:element ref="ns2:k985dbdc596c44d7acaf8184f33920f0" minOccurs="0"/>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3:MediaServiceLocation" minOccurs="0"/>
                <xsd:element ref="ns3:_Flow_SignoffStatus"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fdd505-2570-46c2-bd04-3e0f2d874cf5" elementFormDefault="qualified">
    <xsd:import namespace="http://schemas.microsoft.com/office/2006/documentManagement/types"/>
    <xsd:import namespace="http://schemas.microsoft.com/office/infopath/2007/PartnerControls"/>
    <xsd:element name="ADBDocumentDate" ma:index="3" nillable="true" ma:displayName="Document Date" ma:format="DateOnly" ma:internalName="ADBDocumentDate">
      <xsd:simpleType>
        <xsd:restriction base="dms:DateTime"/>
      </xsd:simpleType>
    </xsd:element>
    <xsd:element name="ADBMonth" ma:index="4" nillable="true" ma:displayName="Month" ma:format="Dropdown" ma:internalName="ADBMonth">
      <xsd:simpleType>
        <xsd:restriction base="dms:Choice">
          <xsd:enumeration value="01-Jan"/>
          <xsd:enumeration value="02-Feb"/>
          <xsd:enumeration value="03-Mar"/>
          <xsd:enumeration value="04-Apr"/>
          <xsd:enumeration value="05-May"/>
          <xsd:enumeration value="06-Jun"/>
          <xsd:enumeration value="07-Jul"/>
          <xsd:enumeration value="08-Aug"/>
          <xsd:enumeration value="09-Sep"/>
          <xsd:enumeration value="10-Oct"/>
          <xsd:enumeration value="11-Nov"/>
          <xsd:enumeration value="12-Dec"/>
        </xsd:restriction>
      </xsd:simpleType>
    </xsd:element>
    <xsd:element name="ADBYear" ma:index="5" nillable="true" ma:displayName="Year" ma:internalName="ADBYear">
      <xsd:simpleType>
        <xsd:restriction base="dms:Text">
          <xsd:maxLength value="4"/>
        </xsd:restriction>
      </xsd:simpleType>
    </xsd:element>
    <xsd:element name="ADBAuthors" ma:index="6" nillable="true" ma:displayName="Authors" ma:list="UserInfo" ma:SharePointGroup="0" ma:internalName="ADB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DBSourceLink" ma:index="16" nillable="true" ma:displayName="Source Link" ma:format="Hyperlink" ma:internalName="ADBSourceLink">
      <xsd:complexType>
        <xsd:complexContent>
          <xsd:extension base="dms:URL">
            <xsd:sequence>
              <xsd:element name="Url" type="dms:ValidUrl" minOccurs="0" nillable="true"/>
              <xsd:element name="Description" type="xsd:string" nillable="true"/>
            </xsd:sequence>
          </xsd:extension>
        </xsd:complexContent>
      </xsd:complexType>
    </xsd:element>
    <xsd:element name="ADBCirculatedLink" ma:index="17" nillable="true" ma:displayName="Final Document Link" ma:format="Hyperlink" ma:internalName="ADBCirculatedLink">
      <xsd:complexType>
        <xsd:complexContent>
          <xsd:extension base="dms:URL">
            <xsd:sequence>
              <xsd:element name="Url" type="dms:ValidUrl" minOccurs="0" nillable="true"/>
              <xsd:element name="Description" type="xsd:string" nillable="true"/>
            </xsd:sequence>
          </xsd:extension>
        </xsd:complexContent>
      </xsd:complexType>
    </xsd:element>
    <xsd:element name="a0d1b14b197747dfafc19f70ff45d4f6" ma:index="18" nillable="true" ma:taxonomy="true" ma:internalName="a0d1b14b197747dfafc19f70ff45d4f6" ma:taxonomyFieldName="ADBProjectDocumentType" ma:displayName="ADB Project Document Type" ma:default="" ma:fieldId="{a0d1b14b-1977-47df-afc1-9f70ff45d4f6}" ma:sspId="115af50e-efb3-4a0e-b425-875ff625e09e" ma:termSetId="14b53411-9553-454e-9031-2e4b08df825b" ma:anchorId="00000000-0000-0000-0000-000000000000" ma:open="false" ma:isKeyword="false">
      <xsd:complexType>
        <xsd:sequence>
          <xsd:element ref="pc:Terms" minOccurs="0" maxOccurs="1"/>
        </xsd:sequence>
      </xsd:complexType>
    </xsd:element>
    <xsd:element name="d01a0ce1b141461dbfb235a3ab729a2c" ma:index="19" nillable="true" ma:taxonomy="true" ma:internalName="d01a0ce1b141461dbfb235a3ab729a2c" ma:taxonomyFieldName="ADBSector" ma:displayName="Sector" ma:default="" ma:fieldId="{d01a0ce1-b141-461d-bfb2-35a3ab729a2c}" ma:sspId="115af50e-efb3-4a0e-b425-875ff625e09e" ma:termSetId="bae01210-cdc5-4479-86d7-616c28c0a9b3" ma:anchorId="00000000-0000-0000-0000-000000000000" ma:open="false" ma:isKeyword="false">
      <xsd:complexType>
        <xsd:sequence>
          <xsd:element ref="pc:Terms" minOccurs="0" maxOccurs="1"/>
        </xsd:sequence>
      </xsd:complexType>
    </xsd:element>
    <xsd:element name="TaxCatchAll" ma:index="20" nillable="true" ma:displayName="Taxonomy Catch All Column" ma:hidden="true" ma:list="{f25dc3d4-8c42-4adf-ba18-092ba62dec38}" ma:internalName="TaxCatchAll" ma:showField="CatchAllData" ma:web="de7c83af-6e2a-468d-b74a-8ed3e8c19c66">
      <xsd:complexType>
        <xsd:complexContent>
          <xsd:extension base="dms:MultiChoiceLookup">
            <xsd:sequence>
              <xsd:element name="Value" type="dms:Lookup" maxOccurs="unbounded" minOccurs="0" nillable="true"/>
            </xsd:sequence>
          </xsd:extension>
        </xsd:complexContent>
      </xsd:complexType>
    </xsd:element>
    <xsd:element name="hca2169e3b0945318411f30479ba40c8" ma:index="21" nillable="true" ma:taxonomy="true" ma:internalName="hca2169e3b0945318411f30479ba40c8" ma:taxonomyFieldName="ADBProject" ma:displayName="Project" ma:default="" ma:fieldId="{1ca2169e-3b09-4531-8411-f30479ba40c8}" ma:sspId="115af50e-efb3-4a0e-b425-875ff625e09e" ma:termSetId="7a252312-03a3-44f4-bc5c-a08b11dfe2f6" ma:anchorId="00000000-0000-0000-0000-000000000000" ma:open="false" ma:isKeyword="false">
      <xsd:complexType>
        <xsd:sequence>
          <xsd:element ref="pc:Terms" minOccurs="0" maxOccurs="1"/>
        </xsd:sequence>
      </xsd:complexType>
    </xsd:element>
    <xsd:element name="p030e467f78f45b4ae8f7e2c17ea4d82" ma:index="22" nillable="true" ma:taxonomy="true" ma:internalName="p030e467f78f45b4ae8f7e2c17ea4d82" ma:taxonomyFieldName="ADBDocumentSecurity" ma:displayName="Document Security" ma:default="" ma:fieldId="{9030e467-f78f-45b4-ae8f-7e2c17ea4d82}" ma:sspId="115af50e-efb3-4a0e-b425-875ff625e09e" ma:termSetId="9b0b4686-afa9-4a02-bc15-8fbc99f17210" ma:anchorId="00000000-0000-0000-0000-000000000000" ma:open="false" ma:isKeyword="false">
      <xsd:complexType>
        <xsd:sequence>
          <xsd:element ref="pc:Terms" minOccurs="0" maxOccurs="1"/>
        </xsd:sequence>
      </xsd:complexType>
    </xsd:element>
    <xsd:element name="h00e4aaaf4624e24a7df7f06faa038c6" ma:index="24" nillable="true" ma:taxonomy="true" ma:internalName="h00e4aaaf4624e24a7df7f06faa038c6" ma:taxonomyFieldName="ADBDocumentLanguage" ma:displayName="Document Language" ma:default="1;#English|16ac8743-31bb-43f8-9a73-533a041667d6" ma:fieldId="{100e4aaa-f462-4e24-a7df-7f06faa038c6}" ma:sspId="115af50e-efb3-4a0e-b425-875ff625e09e" ma:termSetId="fdf74959-6eb2-4689-a0fc-b9e1ab230b09" ma:anchorId="00000000-0000-0000-0000-000000000000" ma:open="false" ma:isKeyword="false">
      <xsd:complexType>
        <xsd:sequence>
          <xsd:element ref="pc:Terms" minOccurs="0" maxOccurs="1"/>
        </xsd:sequence>
      </xsd:complexType>
    </xsd:element>
    <xsd:element name="d61536b25a8a4fedb48bb564279be82a" ma:index="27" nillable="true" ma:taxonomy="true" ma:internalName="d61536b25a8a4fedb48bb564279be82a" ma:taxonomyFieldName="ADBDepartmentOwner" ma:displayName="Department Owner" ma:default="" ma:fieldId="{d61536b2-5a8a-4fed-b48b-b564279be82a}" ma:sspId="115af50e-efb3-4a0e-b425-875ff625e09e" ma:termSetId="b965cdb6-1071-4c6a-a9a3-189d53a950d4" ma:anchorId="00000000-0000-0000-0000-000000000000" ma:open="false" ma:isKeyword="false">
      <xsd:complexType>
        <xsd:sequence>
          <xsd:element ref="pc:Terms" minOccurs="0" maxOccurs="1"/>
        </xsd:sequence>
      </xsd:complexType>
    </xsd:element>
    <xsd:element name="j78542b1fffc4a1c84659474212e3133" ma:index="31" nillable="true" ma:taxonomy="true" ma:internalName="j78542b1fffc4a1c84659474212e3133" ma:taxonomyFieldName="ADBContentGroup" ma:displayName="Content Group" ma:default="" ma:fieldId="{378542b1-fffc-4a1c-8465-9474212e3133}" ma:taxonomyMulti="true" ma:sspId="115af50e-efb3-4a0e-b425-875ff625e09e" ma:termSetId="2a9ffbee-93a5-418b-bcdb-8d6817936e6b" ma:anchorId="00000000-0000-0000-0000-000000000000" ma:open="false" ma:isKeyword="false">
      <xsd:complexType>
        <xsd:sequence>
          <xsd:element ref="pc:Terms" minOccurs="0" maxOccurs="1"/>
        </xsd:sequence>
      </xsd:complexType>
    </xsd:element>
    <xsd:element name="ADBDocumentTypeValue" ma:index="32" nillable="true" ma:displayName="Document Type" ma:hidden="true" ma:internalName="ADBDocumentTypeValue" ma:readOnly="false">
      <xsd:simpleType>
        <xsd:restriction base="dms:Text">
          <xsd:maxLength value="255"/>
        </xsd:restriction>
      </xsd:simpleType>
    </xsd:element>
    <xsd:element name="ia017ac09b1942648b563fe0b2b14d52" ma:index="33" nillable="true" ma:taxonomy="true" ma:internalName="ia017ac09b1942648b563fe0b2b14d52" ma:taxonomyFieldName="ADBDivision" ma:displayName="Division" ma:default="" ma:fieldId="{2a017ac0-9b19-4264-8b56-3fe0b2b14d52}" ma:sspId="115af50e-efb3-4a0e-b425-875ff625e09e" ma:termSetId="d736278f-2140-40cc-b46b-6a0ab0de2d29" ma:anchorId="00000000-0000-0000-0000-000000000000" ma:open="false" ma:isKeyword="false">
      <xsd:complexType>
        <xsd:sequence>
          <xsd:element ref="pc:Terms" minOccurs="0" maxOccurs="1"/>
        </xsd:sequence>
      </xsd:complexType>
    </xsd:element>
    <xsd:element name="h35d3bd3f16b4964a022bfaedf90233f" ma:index="34" nillable="true" ma:taxonomy="true" ma:internalName="h35d3bd3f16b4964a022bfaedf90233f" ma:taxonomyFieldName="ADBSubRegion" ma:displayName="Subregion" ma:readOnly="false" ma:default="" ma:fieldId="{135d3bd3-f16b-4964-a022-bfaedf90233f}" ma:taxonomyMulti="true" ma:sspId="115af50e-efb3-4a0e-b425-875ff625e09e" ma:termSetId="26887811-cbc8-440f-ae3c-476d537525b4" ma:anchorId="00000000-0000-0000-0000-000000000000" ma:open="false" ma:isKeyword="false">
      <xsd:complexType>
        <xsd:sequence>
          <xsd:element ref="pc:Terms" minOccurs="0" maxOccurs="1"/>
        </xsd:sequence>
      </xsd:complexType>
    </xsd:element>
    <xsd:element name="kc098dd651dc4f4b9248417ab8ccab6f" ma:index="36" nillable="true" ma:taxonomy="true" ma:internalName="kc098dd651dc4f4b9248417ab8ccab6f" ma:taxonomyFieldName="Segment" ma:displayName="Segment" ma:readOnly="false" ma:default="" ma:fieldId="{4c098dd6-51dc-4f4b-9248-417ab8ccab6f}" ma:sspId="115af50e-efb3-4a0e-b425-875ff625e09e" ma:termSetId="ca487498-3907-4013-84b5-72a7400220c5" ma:anchorId="00000000-0000-0000-0000-000000000000" ma:open="false" ma:isKeyword="false">
      <xsd:complexType>
        <xsd:sequence>
          <xsd:element ref="pc:Terms" minOccurs="0" maxOccurs="1"/>
        </xsd:sequence>
      </xsd:complexType>
    </xsd:element>
    <xsd:element name="k985dbdc596c44d7acaf8184f33920f0" ma:index="37" nillable="true" ma:taxonomy="true" ma:internalName="k985dbdc596c44d7acaf8184f33920f0" ma:taxonomyFieldName="ADBCountry" ma:displayName="Country" ma:default="" ma:fieldId="{4985dbdc-596c-44d7-acaf-8184f33920f0}" ma:sspId="115af50e-efb3-4a0e-b425-875ff625e09e" ma:termSetId="169202c7-46da-431e-ac86-348c41a1f49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90cdaa3-c638-499a-8e5b-01a05382d52d" elementFormDefault="qualified">
    <xsd:import namespace="http://schemas.microsoft.com/office/2006/documentManagement/types"/>
    <xsd:import namespace="http://schemas.microsoft.com/office/infopath/2007/PartnerControls"/>
    <xsd:element name="MediaServiceMetadata" ma:index="38" nillable="true" ma:displayName="MediaServiceMetadata" ma:hidden="true" ma:internalName="MediaServiceMetadata" ma:readOnly="true">
      <xsd:simpleType>
        <xsd:restriction base="dms:Note"/>
      </xsd:simpleType>
    </xsd:element>
    <xsd:element name="MediaServiceFastMetadata" ma:index="39" nillable="true" ma:displayName="MediaServiceFastMetadata" ma:hidden="true" ma:internalName="MediaServiceFastMetadata" ma:readOnly="true">
      <xsd:simpleType>
        <xsd:restriction base="dms:Note"/>
      </xsd:simpleType>
    </xsd:element>
    <xsd:element name="MediaServiceDateTaken" ma:index="40" nillable="true" ma:displayName="MediaServiceDateTaken" ma:hidden="true" ma:internalName="MediaServiceDateTaken" ma:readOnly="true">
      <xsd:simpleType>
        <xsd:restriction base="dms:Text"/>
      </xsd:simpleType>
    </xsd:element>
    <xsd:element name="MediaServiceAutoTags" ma:index="41" nillable="true" ma:displayName="MediaServiceAutoTags" ma:internalName="MediaServiceAutoTags" ma:readOnly="true">
      <xsd:simpleType>
        <xsd:restriction base="dms:Text"/>
      </xsd:simpleType>
    </xsd:element>
    <xsd:element name="MediaServiceOCR" ma:index="42" nillable="true" ma:displayName="MediaServiceOCR" ma:internalName="MediaServiceOCR" ma:readOnly="true">
      <xsd:simpleType>
        <xsd:restriction base="dms:Note">
          <xsd:maxLength value="255"/>
        </xsd:restriction>
      </xsd:simpleType>
    </xsd:element>
    <xsd:element name="MediaServiceLocation" ma:index="45" nillable="true" ma:displayName="Location" ma:internalName="MediaServiceLocation" ma:readOnly="true">
      <xsd:simpleType>
        <xsd:restriction base="dms:Text"/>
      </xsd:simpleType>
    </xsd:element>
    <xsd:element name="_Flow_SignoffStatus" ma:index="46" nillable="true" ma:displayName="Sign-off status" ma:internalName="Sign_x002d_off_x0020_status">
      <xsd:simpleType>
        <xsd:restriction base="dms:Text"/>
      </xsd:simpleType>
    </xsd:element>
    <xsd:element name="MediaServiceGenerationTime" ma:index="47" nillable="true" ma:displayName="MediaServiceGenerationTime" ma:hidden="true" ma:internalName="MediaServiceGenerationTime" ma:readOnly="true">
      <xsd:simpleType>
        <xsd:restriction base="dms:Text"/>
      </xsd:simpleType>
    </xsd:element>
    <xsd:element name="MediaServiceEventHashCode" ma:index="48" nillable="true" ma:displayName="MediaServiceEventHashCode" ma:hidden="true" ma:internalName="MediaServiceEventHashCode" ma:readOnly="true">
      <xsd:simpleType>
        <xsd:restriction base="dms:Text"/>
      </xsd:simpleType>
    </xsd:element>
    <xsd:element name="MediaServiceAutoKeyPoints" ma:index="49" nillable="true" ma:displayName="MediaServiceAutoKeyPoints" ma:hidden="true" ma:internalName="MediaServiceAutoKeyPoints" ma:readOnly="true">
      <xsd:simpleType>
        <xsd:restriction base="dms:Note"/>
      </xsd:simpleType>
    </xsd:element>
    <xsd:element name="MediaServiceKeyPoints" ma:index="5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7c83af-6e2a-468d-b74a-8ed3e8c19c66" elementFormDefault="qualified">
    <xsd:import namespace="http://schemas.microsoft.com/office/2006/documentManagement/types"/>
    <xsd:import namespace="http://schemas.microsoft.com/office/infopath/2007/PartnerControls"/>
    <xsd:element name="SharedWithUsers" ma:index="4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5" ma:displayName="Content Type"/>
        <xsd:element ref="dc:title" minOccurs="0" maxOccurs="1" ma:index="1" ma:displayName="Task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1EAE70-F70E-4F47-963B-11EBA5E88138}">
  <ds:schemaRefs>
    <ds:schemaRef ds:uri="http://schemas.microsoft.com/office/2006/metadata/properties"/>
    <ds:schemaRef ds:uri="http://schemas.microsoft.com/office/infopath/2007/PartnerControls"/>
    <ds:schemaRef ds:uri="c1fdd505-2570-46c2-bd04-3e0f2d874cf5"/>
    <ds:schemaRef ds:uri="290cdaa3-c638-499a-8e5b-01a05382d52d"/>
    <ds:schemaRef ds:uri="de7c83af-6e2a-468d-b74a-8ed3e8c19c66"/>
  </ds:schemaRefs>
</ds:datastoreItem>
</file>

<file path=customXml/itemProps2.xml><?xml version="1.0" encoding="utf-8"?>
<ds:datastoreItem xmlns:ds="http://schemas.openxmlformats.org/officeDocument/2006/customXml" ds:itemID="{A2A66697-FA10-4D1D-B60E-5416C8E44EFE}">
  <ds:schemaRefs>
    <ds:schemaRef ds:uri="http://schemas.microsoft.com/sharepoint/v3/contenttype/forms"/>
  </ds:schemaRefs>
</ds:datastoreItem>
</file>

<file path=customXml/itemProps3.xml><?xml version="1.0" encoding="utf-8"?>
<ds:datastoreItem xmlns:ds="http://schemas.openxmlformats.org/officeDocument/2006/customXml" ds:itemID="{2A5BE24E-E50B-4623-968F-D2B12487E056}">
  <ds:schemaRefs>
    <ds:schemaRef ds:uri="Microsoft.SharePoint.Taxonomy.ContentTypeSync"/>
  </ds:schemaRefs>
</ds:datastoreItem>
</file>

<file path=customXml/itemProps4.xml><?xml version="1.0" encoding="utf-8"?>
<ds:datastoreItem xmlns:ds="http://schemas.openxmlformats.org/officeDocument/2006/customXml" ds:itemID="{5CEA1D42-DF03-4D9F-A1FD-DDFF1A2240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fdd505-2570-46c2-bd04-3e0f2d874cf5"/>
    <ds:schemaRef ds:uri="290cdaa3-c638-499a-8e5b-01a05382d52d"/>
    <ds:schemaRef ds:uri="de7c83af-6e2a-468d-b74a-8ed3e8c19c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C912C41-5DD6-4A77-8609-7A1786CC1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RRPProjectLoan_2007a</Template>
  <TotalTime>1</TotalTime>
  <Pages>22</Pages>
  <Words>10572</Words>
  <Characters>60266</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RRP Policy-Based Lending</vt:lpstr>
    </vt:vector>
  </TitlesOfParts>
  <Company>Licenced User</Company>
  <LinksUpToDate>false</LinksUpToDate>
  <CharactersWithSpaces>70697</CharactersWithSpaces>
  <SharedDoc>false</SharedDoc>
  <HLinks>
    <vt:vector size="342" baseType="variant">
      <vt:variant>
        <vt:i4>4063298</vt:i4>
      </vt:variant>
      <vt:variant>
        <vt:i4>108</vt:i4>
      </vt:variant>
      <vt:variant>
        <vt:i4>0</vt:i4>
      </vt:variant>
      <vt:variant>
        <vt:i4>5</vt:i4>
      </vt:variant>
      <vt:variant>
        <vt:lpwstr>https://asiandevbank.sharepoint.com/:w:/r/teams/org_iau/FinalDocs/Templates/02 Linked Documents/RRP List of Ineligible Items.docx?d=wa7ddc811bb784c61b76e8e7e6c82bec4&amp;csf=1&amp;e=1XXJAL</vt:lpwstr>
      </vt:variant>
      <vt:variant>
        <vt:lpwstr/>
      </vt:variant>
      <vt:variant>
        <vt:i4>2490437</vt:i4>
      </vt:variant>
      <vt:variant>
        <vt:i4>105</vt:i4>
      </vt:variant>
      <vt:variant>
        <vt:i4>0</vt:i4>
      </vt:variant>
      <vt:variant>
        <vt:i4>5</vt:i4>
      </vt:variant>
      <vt:variant>
        <vt:lpwstr>https://asiandevbank.sharepoint.com/:w:/r/teams/org_iau/FinalDocs/Templates/02 Linked Documents/RRP Risk Assessment and Risk Management Plan.docx?d=wd562f74c7c3748eba36df39c6286b61b&amp;csf=1&amp;e=FgG40g</vt:lpwstr>
      </vt:variant>
      <vt:variant>
        <vt:lpwstr/>
      </vt:variant>
      <vt:variant>
        <vt:i4>7667736</vt:i4>
      </vt:variant>
      <vt:variant>
        <vt:i4>102</vt:i4>
      </vt:variant>
      <vt:variant>
        <vt:i4>0</vt:i4>
      </vt:variant>
      <vt:variant>
        <vt:i4>5</vt:i4>
      </vt:variant>
      <vt:variant>
        <vt:lpwstr>https://asiandevbank.sharepoint.com/:w:/r/teams/org_iau/FinalDocs/Templates/02 Linked Documents/RRP SPRSS.docx?d=wa51092d5420848d698aa4f27f4025ab3&amp;csf=1&amp;e=kczHkS</vt:lpwstr>
      </vt:variant>
      <vt:variant>
        <vt:lpwstr/>
      </vt:variant>
      <vt:variant>
        <vt:i4>3145752</vt:i4>
      </vt:variant>
      <vt:variant>
        <vt:i4>99</vt:i4>
      </vt:variant>
      <vt:variant>
        <vt:i4>0</vt:i4>
      </vt:variant>
      <vt:variant>
        <vt:i4>5</vt:i4>
      </vt:variant>
      <vt:variant>
        <vt:lpwstr>https://asiandevbank.sharepoint.com/:w:/r/teams/org_iau/FinalDocs/Templates/02 Linked Documents/RRP Development Coordination.docx?d=wd99c8fe3b9ba40f799accd061a61ceaa&amp;csf=1&amp;e=pRtyxB</vt:lpwstr>
      </vt:variant>
      <vt:variant>
        <vt:lpwstr/>
      </vt:variant>
      <vt:variant>
        <vt:i4>5111818</vt:i4>
      </vt:variant>
      <vt:variant>
        <vt:i4>96</vt:i4>
      </vt:variant>
      <vt:variant>
        <vt:i4>0</vt:i4>
      </vt:variant>
      <vt:variant>
        <vt:i4>5</vt:i4>
      </vt:variant>
      <vt:variant>
        <vt:lpwstr>https://www.adb.org/sites/default/files/linked-documents/cps-geo-2014-2018-sd-01.pdf</vt:lpwstr>
      </vt:variant>
      <vt:variant>
        <vt:lpwstr/>
      </vt:variant>
      <vt:variant>
        <vt:i4>5111818</vt:i4>
      </vt:variant>
      <vt:variant>
        <vt:i4>93</vt:i4>
      </vt:variant>
      <vt:variant>
        <vt:i4>0</vt:i4>
      </vt:variant>
      <vt:variant>
        <vt:i4>5</vt:i4>
      </vt:variant>
      <vt:variant>
        <vt:lpwstr>https://www.adb.org/sites/default/files/linked-documents/cps-geo-2014-2018-sd-01.pdf</vt:lpwstr>
      </vt:variant>
      <vt:variant>
        <vt:lpwstr/>
      </vt:variant>
      <vt:variant>
        <vt:i4>1900601</vt:i4>
      </vt:variant>
      <vt:variant>
        <vt:i4>80</vt:i4>
      </vt:variant>
      <vt:variant>
        <vt:i4>0</vt:i4>
      </vt:variant>
      <vt:variant>
        <vt:i4>5</vt:i4>
      </vt:variant>
      <vt:variant>
        <vt:lpwstr/>
      </vt:variant>
      <vt:variant>
        <vt:lpwstr>_Toc49870256</vt:lpwstr>
      </vt:variant>
      <vt:variant>
        <vt:i4>1966137</vt:i4>
      </vt:variant>
      <vt:variant>
        <vt:i4>74</vt:i4>
      </vt:variant>
      <vt:variant>
        <vt:i4>0</vt:i4>
      </vt:variant>
      <vt:variant>
        <vt:i4>5</vt:i4>
      </vt:variant>
      <vt:variant>
        <vt:lpwstr/>
      </vt:variant>
      <vt:variant>
        <vt:lpwstr>_Toc49870255</vt:lpwstr>
      </vt:variant>
      <vt:variant>
        <vt:i4>2031673</vt:i4>
      </vt:variant>
      <vt:variant>
        <vt:i4>68</vt:i4>
      </vt:variant>
      <vt:variant>
        <vt:i4>0</vt:i4>
      </vt:variant>
      <vt:variant>
        <vt:i4>5</vt:i4>
      </vt:variant>
      <vt:variant>
        <vt:lpwstr/>
      </vt:variant>
      <vt:variant>
        <vt:lpwstr>_Toc49870254</vt:lpwstr>
      </vt:variant>
      <vt:variant>
        <vt:i4>1572921</vt:i4>
      </vt:variant>
      <vt:variant>
        <vt:i4>62</vt:i4>
      </vt:variant>
      <vt:variant>
        <vt:i4>0</vt:i4>
      </vt:variant>
      <vt:variant>
        <vt:i4>5</vt:i4>
      </vt:variant>
      <vt:variant>
        <vt:lpwstr/>
      </vt:variant>
      <vt:variant>
        <vt:lpwstr>_Toc49870253</vt:lpwstr>
      </vt:variant>
      <vt:variant>
        <vt:i4>1638457</vt:i4>
      </vt:variant>
      <vt:variant>
        <vt:i4>56</vt:i4>
      </vt:variant>
      <vt:variant>
        <vt:i4>0</vt:i4>
      </vt:variant>
      <vt:variant>
        <vt:i4>5</vt:i4>
      </vt:variant>
      <vt:variant>
        <vt:lpwstr/>
      </vt:variant>
      <vt:variant>
        <vt:lpwstr>_Toc49870252</vt:lpwstr>
      </vt:variant>
      <vt:variant>
        <vt:i4>1703993</vt:i4>
      </vt:variant>
      <vt:variant>
        <vt:i4>50</vt:i4>
      </vt:variant>
      <vt:variant>
        <vt:i4>0</vt:i4>
      </vt:variant>
      <vt:variant>
        <vt:i4>5</vt:i4>
      </vt:variant>
      <vt:variant>
        <vt:lpwstr/>
      </vt:variant>
      <vt:variant>
        <vt:lpwstr>_Toc49870251</vt:lpwstr>
      </vt:variant>
      <vt:variant>
        <vt:i4>1769529</vt:i4>
      </vt:variant>
      <vt:variant>
        <vt:i4>44</vt:i4>
      </vt:variant>
      <vt:variant>
        <vt:i4>0</vt:i4>
      </vt:variant>
      <vt:variant>
        <vt:i4>5</vt:i4>
      </vt:variant>
      <vt:variant>
        <vt:lpwstr/>
      </vt:variant>
      <vt:variant>
        <vt:lpwstr>_Toc49870250</vt:lpwstr>
      </vt:variant>
      <vt:variant>
        <vt:i4>1179704</vt:i4>
      </vt:variant>
      <vt:variant>
        <vt:i4>38</vt:i4>
      </vt:variant>
      <vt:variant>
        <vt:i4>0</vt:i4>
      </vt:variant>
      <vt:variant>
        <vt:i4>5</vt:i4>
      </vt:variant>
      <vt:variant>
        <vt:lpwstr/>
      </vt:variant>
      <vt:variant>
        <vt:lpwstr>_Toc49870249</vt:lpwstr>
      </vt:variant>
      <vt:variant>
        <vt:i4>1245240</vt:i4>
      </vt:variant>
      <vt:variant>
        <vt:i4>32</vt:i4>
      </vt:variant>
      <vt:variant>
        <vt:i4>0</vt:i4>
      </vt:variant>
      <vt:variant>
        <vt:i4>5</vt:i4>
      </vt:variant>
      <vt:variant>
        <vt:lpwstr/>
      </vt:variant>
      <vt:variant>
        <vt:lpwstr>_Toc49870248</vt:lpwstr>
      </vt:variant>
      <vt:variant>
        <vt:i4>1900600</vt:i4>
      </vt:variant>
      <vt:variant>
        <vt:i4>26</vt:i4>
      </vt:variant>
      <vt:variant>
        <vt:i4>0</vt:i4>
      </vt:variant>
      <vt:variant>
        <vt:i4>5</vt:i4>
      </vt:variant>
      <vt:variant>
        <vt:lpwstr/>
      </vt:variant>
      <vt:variant>
        <vt:lpwstr>_Toc49870246</vt:lpwstr>
      </vt:variant>
      <vt:variant>
        <vt:i4>1966136</vt:i4>
      </vt:variant>
      <vt:variant>
        <vt:i4>20</vt:i4>
      </vt:variant>
      <vt:variant>
        <vt:i4>0</vt:i4>
      </vt:variant>
      <vt:variant>
        <vt:i4>5</vt:i4>
      </vt:variant>
      <vt:variant>
        <vt:lpwstr/>
      </vt:variant>
      <vt:variant>
        <vt:lpwstr>_Toc49870245</vt:lpwstr>
      </vt:variant>
      <vt:variant>
        <vt:i4>2031672</vt:i4>
      </vt:variant>
      <vt:variant>
        <vt:i4>14</vt:i4>
      </vt:variant>
      <vt:variant>
        <vt:i4>0</vt:i4>
      </vt:variant>
      <vt:variant>
        <vt:i4>5</vt:i4>
      </vt:variant>
      <vt:variant>
        <vt:lpwstr/>
      </vt:variant>
      <vt:variant>
        <vt:lpwstr>_Toc49870244</vt:lpwstr>
      </vt:variant>
      <vt:variant>
        <vt:i4>1572920</vt:i4>
      </vt:variant>
      <vt:variant>
        <vt:i4>8</vt:i4>
      </vt:variant>
      <vt:variant>
        <vt:i4>0</vt:i4>
      </vt:variant>
      <vt:variant>
        <vt:i4>5</vt:i4>
      </vt:variant>
      <vt:variant>
        <vt:lpwstr/>
      </vt:variant>
      <vt:variant>
        <vt:lpwstr>_Toc49870243</vt:lpwstr>
      </vt:variant>
      <vt:variant>
        <vt:i4>1638456</vt:i4>
      </vt:variant>
      <vt:variant>
        <vt:i4>2</vt:i4>
      </vt:variant>
      <vt:variant>
        <vt:i4>0</vt:i4>
      </vt:variant>
      <vt:variant>
        <vt:i4>5</vt:i4>
      </vt:variant>
      <vt:variant>
        <vt:lpwstr/>
      </vt:variant>
      <vt:variant>
        <vt:lpwstr>_Toc49870242</vt:lpwstr>
      </vt:variant>
      <vt:variant>
        <vt:i4>2490402</vt:i4>
      </vt:variant>
      <vt:variant>
        <vt:i4>108</vt:i4>
      </vt:variant>
      <vt:variant>
        <vt:i4>0</vt:i4>
      </vt:variant>
      <vt:variant>
        <vt:i4>5</vt:i4>
      </vt:variant>
      <vt:variant>
        <vt:lpwstr>https://www.geostat.ge/en/modules/categories/192/living-conditions</vt:lpwstr>
      </vt:variant>
      <vt:variant>
        <vt:lpwstr/>
      </vt:variant>
      <vt:variant>
        <vt:i4>5636125</vt:i4>
      </vt:variant>
      <vt:variant>
        <vt:i4>105</vt:i4>
      </vt:variant>
      <vt:variant>
        <vt:i4>0</vt:i4>
      </vt:variant>
      <vt:variant>
        <vt:i4>5</vt:i4>
      </vt:variant>
      <vt:variant>
        <vt:lpwstr>https://www.pefa.org/node/276</vt:lpwstr>
      </vt:variant>
      <vt:variant>
        <vt:lpwstr/>
      </vt:variant>
      <vt:variant>
        <vt:i4>2031706</vt:i4>
      </vt:variant>
      <vt:variant>
        <vt:i4>102</vt:i4>
      </vt:variant>
      <vt:variant>
        <vt:i4>0</vt:i4>
      </vt:variant>
      <vt:variant>
        <vt:i4>5</vt:i4>
      </vt:variant>
      <vt:variant>
        <vt:lpwstr>https://mof.ge/images/File/strategia/2020/PFMRS 2018-2021 ENG.pdf</vt:lpwstr>
      </vt:variant>
      <vt:variant>
        <vt:lpwstr/>
      </vt:variant>
      <vt:variant>
        <vt:i4>5111818</vt:i4>
      </vt:variant>
      <vt:variant>
        <vt:i4>99</vt:i4>
      </vt:variant>
      <vt:variant>
        <vt:i4>0</vt:i4>
      </vt:variant>
      <vt:variant>
        <vt:i4>5</vt:i4>
      </vt:variant>
      <vt:variant>
        <vt:lpwstr>https://www.adb.org/sites/default/files/linked-documents/cps-geo-2014-2018-sd-01.pdf</vt:lpwstr>
      </vt:variant>
      <vt:variant>
        <vt:lpwstr/>
      </vt:variant>
      <vt:variant>
        <vt:i4>5832799</vt:i4>
      </vt:variant>
      <vt:variant>
        <vt:i4>96</vt:i4>
      </vt:variant>
      <vt:variant>
        <vt:i4>0</vt:i4>
      </vt:variant>
      <vt:variant>
        <vt:i4>5</vt:i4>
      </vt:variant>
      <vt:variant>
        <vt:lpwstr>https://www.adb.org/sites/default/files/institutional-document/435391/strategy-2030-main-document.pdf</vt:lpwstr>
      </vt:variant>
      <vt:variant>
        <vt:lpwstr/>
      </vt:variant>
      <vt:variant>
        <vt:i4>1376280</vt:i4>
      </vt:variant>
      <vt:variant>
        <vt:i4>93</vt:i4>
      </vt:variant>
      <vt:variant>
        <vt:i4>0</vt:i4>
      </vt:variant>
      <vt:variant>
        <vt:i4>5</vt:i4>
      </vt:variant>
      <vt:variant>
        <vt:lpwstr>https://www.adb.org/sites/default/files/evaluation-document/469646/files/pvr-554.pdf</vt:lpwstr>
      </vt:variant>
      <vt:variant>
        <vt:lpwstr/>
      </vt:variant>
      <vt:variant>
        <vt:i4>1966169</vt:i4>
      </vt:variant>
      <vt:variant>
        <vt:i4>90</vt:i4>
      </vt:variant>
      <vt:variant>
        <vt:i4>0</vt:i4>
      </vt:variant>
      <vt:variant>
        <vt:i4>5</vt:i4>
      </vt:variant>
      <vt:variant>
        <vt:lpwstr>https://www.adb.org/projects/documents/geo-48044-004-pcr</vt:lpwstr>
      </vt:variant>
      <vt:variant>
        <vt:lpwstr/>
      </vt:variant>
      <vt:variant>
        <vt:i4>4259860</vt:i4>
      </vt:variant>
      <vt:variant>
        <vt:i4>87</vt:i4>
      </vt:variant>
      <vt:variant>
        <vt:i4>0</vt:i4>
      </vt:variant>
      <vt:variant>
        <vt:i4>5</vt:i4>
      </vt:variant>
      <vt:variant>
        <vt:lpwstr>https://www.adb.org/sites/default/files/project-documents/54079/54079-001-tar-en.pdf</vt:lpwstr>
      </vt:variant>
      <vt:variant>
        <vt:lpwstr/>
      </vt:variant>
      <vt:variant>
        <vt:i4>4259863</vt:i4>
      </vt:variant>
      <vt:variant>
        <vt:i4>84</vt:i4>
      </vt:variant>
      <vt:variant>
        <vt:i4>0</vt:i4>
      </vt:variant>
      <vt:variant>
        <vt:i4>5</vt:i4>
      </vt:variant>
      <vt:variant>
        <vt:lpwstr>https://www.adb.org/sites/default/files/project-documents/52161/52161-002-tar-en.pdf</vt:lpwstr>
      </vt:variant>
      <vt:variant>
        <vt:lpwstr/>
      </vt:variant>
      <vt:variant>
        <vt:i4>6225939</vt:i4>
      </vt:variant>
      <vt:variant>
        <vt:i4>81</vt:i4>
      </vt:variant>
      <vt:variant>
        <vt:i4>0</vt:i4>
      </vt:variant>
      <vt:variant>
        <vt:i4>5</vt:i4>
      </vt:variant>
      <vt:variant>
        <vt:lpwstr>https://www.adb.org/sites/default/files/project-document/150104/48044-001-rrp.pdf</vt:lpwstr>
      </vt:variant>
      <vt:variant>
        <vt:lpwstr/>
      </vt:variant>
      <vt:variant>
        <vt:i4>5373968</vt:i4>
      </vt:variant>
      <vt:variant>
        <vt:i4>78</vt:i4>
      </vt:variant>
      <vt:variant>
        <vt:i4>0</vt:i4>
      </vt:variant>
      <vt:variant>
        <vt:i4>5</vt:i4>
      </vt:variant>
      <vt:variant>
        <vt:lpwstr>https://www.adb.org/sites/default/files/project-documents/54191/54191-001-rrp-en.pdf</vt:lpwstr>
      </vt:variant>
      <vt:variant>
        <vt:lpwstr/>
      </vt:variant>
      <vt:variant>
        <vt:i4>4915298</vt:i4>
      </vt:variant>
      <vt:variant>
        <vt:i4>75</vt:i4>
      </vt:variant>
      <vt:variant>
        <vt:i4>0</vt:i4>
      </vt:variant>
      <vt:variant>
        <vt:i4>5</vt:i4>
      </vt:variant>
      <vt:variant>
        <vt:lpwstr>http://gov.ge/index.php?lang_id=ENG&amp;sec_id=547&amp;info_id=75977</vt:lpwstr>
      </vt:variant>
      <vt:variant>
        <vt:lpwstr/>
      </vt:variant>
      <vt:variant>
        <vt:i4>458777</vt:i4>
      </vt:variant>
      <vt:variant>
        <vt:i4>72</vt:i4>
      </vt:variant>
      <vt:variant>
        <vt:i4>0</vt:i4>
      </vt:variant>
      <vt:variant>
        <vt:i4>5</vt:i4>
      </vt:variant>
      <vt:variant>
        <vt:lpwstr>https://www.geostat.ge/en/modules/categories/39/wages</vt:lpwstr>
      </vt:variant>
      <vt:variant>
        <vt:lpwstr/>
      </vt:variant>
      <vt:variant>
        <vt:i4>6488172</vt:i4>
      </vt:variant>
      <vt:variant>
        <vt:i4>69</vt:i4>
      </vt:variant>
      <vt:variant>
        <vt:i4>0</vt:i4>
      </vt:variant>
      <vt:variant>
        <vt:i4>5</vt:i4>
      </vt:variant>
      <vt:variant>
        <vt:lpwstr>https://www.geostat.ge/en/modules/categories/38/employment-and-unemployment</vt:lpwstr>
      </vt:variant>
      <vt:variant>
        <vt:lpwstr/>
      </vt:variant>
      <vt:variant>
        <vt:i4>4194390</vt:i4>
      </vt:variant>
      <vt:variant>
        <vt:i4>66</vt:i4>
      </vt:variant>
      <vt:variant>
        <vt:i4>0</vt:i4>
      </vt:variant>
      <vt:variant>
        <vt:i4>5</vt:i4>
      </vt:variant>
      <vt:variant>
        <vt:lpwstr>https://iset-pi.ge/index.php/en/education-social-policy-policy-briefs/2589-the-social-impacts-of-covid-19-case-for-a-universal-support-scheme</vt:lpwstr>
      </vt:variant>
      <vt:variant>
        <vt:lpwstr/>
      </vt:variant>
      <vt:variant>
        <vt:i4>6488172</vt:i4>
      </vt:variant>
      <vt:variant>
        <vt:i4>63</vt:i4>
      </vt:variant>
      <vt:variant>
        <vt:i4>0</vt:i4>
      </vt:variant>
      <vt:variant>
        <vt:i4>5</vt:i4>
      </vt:variant>
      <vt:variant>
        <vt:lpwstr>https://www.geostat.ge/en/modules/categories/38/employment-and-unemployment</vt:lpwstr>
      </vt:variant>
      <vt:variant>
        <vt:lpwstr/>
      </vt:variant>
      <vt:variant>
        <vt:i4>917521</vt:i4>
      </vt:variant>
      <vt:variant>
        <vt:i4>60</vt:i4>
      </vt:variant>
      <vt:variant>
        <vt:i4>0</vt:i4>
      </vt:variant>
      <vt:variant>
        <vt:i4>5</vt:i4>
      </vt:variant>
      <vt:variant>
        <vt:lpwstr>https://georgia.unfpa.org/sites/default/files/pub-pdf/2. Ageing-Engl_Print_F.pdf</vt:lpwstr>
      </vt:variant>
      <vt:variant>
        <vt:lpwstr/>
      </vt:variant>
      <vt:variant>
        <vt:i4>2490402</vt:i4>
      </vt:variant>
      <vt:variant>
        <vt:i4>57</vt:i4>
      </vt:variant>
      <vt:variant>
        <vt:i4>0</vt:i4>
      </vt:variant>
      <vt:variant>
        <vt:i4>5</vt:i4>
      </vt:variant>
      <vt:variant>
        <vt:lpwstr>https://www.geostat.ge/en/modules/categories/192/living-conditions</vt:lpwstr>
      </vt:variant>
      <vt:variant>
        <vt:lpwstr/>
      </vt:variant>
      <vt:variant>
        <vt:i4>2490402</vt:i4>
      </vt:variant>
      <vt:variant>
        <vt:i4>54</vt:i4>
      </vt:variant>
      <vt:variant>
        <vt:i4>0</vt:i4>
      </vt:variant>
      <vt:variant>
        <vt:i4>5</vt:i4>
      </vt:variant>
      <vt:variant>
        <vt:lpwstr>https://www.geostat.ge/en/modules/categories/192/living-conditions</vt:lpwstr>
      </vt:variant>
      <vt:variant>
        <vt:lpwstr/>
      </vt:variant>
      <vt:variant>
        <vt:i4>1703952</vt:i4>
      </vt:variant>
      <vt:variant>
        <vt:i4>51</vt:i4>
      </vt:variant>
      <vt:variant>
        <vt:i4>0</vt:i4>
      </vt:variant>
      <vt:variant>
        <vt:i4>5</vt:i4>
      </vt:variant>
      <vt:variant>
        <vt:lpwstr>https://georgia.unfpa.org/sites/default/files/pub-pdf/Census 2014 ENG.pdf</vt:lpwstr>
      </vt:variant>
      <vt:variant>
        <vt:lpwstr/>
      </vt:variant>
      <vt:variant>
        <vt:i4>4915212</vt:i4>
      </vt:variant>
      <vt:variant>
        <vt:i4>48</vt:i4>
      </vt:variant>
      <vt:variant>
        <vt:i4>0</vt:i4>
      </vt:variant>
      <vt:variant>
        <vt:i4>5</vt:i4>
      </vt:variant>
      <vt:variant>
        <vt:lpwstr>https://www.imf.org/en/Publications/WP/Issues/2016/12/31/From-Systemic-Banking-Crises-to-Fiscal-Costs-Risk-Factors-43101</vt:lpwstr>
      </vt:variant>
      <vt:variant>
        <vt:lpwstr/>
      </vt:variant>
      <vt:variant>
        <vt:i4>3080228</vt:i4>
      </vt:variant>
      <vt:variant>
        <vt:i4>45</vt:i4>
      </vt:variant>
      <vt:variant>
        <vt:i4>0</vt:i4>
      </vt:variant>
      <vt:variant>
        <vt:i4>5</vt:i4>
      </vt:variant>
      <vt:variant>
        <vt:lpwstr>https://www.imf.org/en/Publications/CR/Issues/2020/07/22/Georgia-Technical-Assistance-Report-Public-Sector-Balance-Sheet-and-State-Owned-Enterprises-49604</vt:lpwstr>
      </vt:variant>
      <vt:variant>
        <vt:lpwstr/>
      </vt:variant>
      <vt:variant>
        <vt:i4>1704055</vt:i4>
      </vt:variant>
      <vt:variant>
        <vt:i4>42</vt:i4>
      </vt:variant>
      <vt:variant>
        <vt:i4>0</vt:i4>
      </vt:variant>
      <vt:variant>
        <vt:i4>5</vt:i4>
      </vt:variant>
      <vt:variant>
        <vt:lpwstr>https://www.nbg.gov.ge/bankjournal/index.php?m=115&amp;blog_id=190</vt:lpwstr>
      </vt:variant>
      <vt:variant>
        <vt:lpwstr/>
      </vt:variant>
      <vt:variant>
        <vt:i4>3080228</vt:i4>
      </vt:variant>
      <vt:variant>
        <vt:i4>39</vt:i4>
      </vt:variant>
      <vt:variant>
        <vt:i4>0</vt:i4>
      </vt:variant>
      <vt:variant>
        <vt:i4>5</vt:i4>
      </vt:variant>
      <vt:variant>
        <vt:lpwstr>https://www.imf.org/en/Publications/CR/Issues/2020/07/22/Georgia-Technical-Assistance-Report-Public-Sector-Balance-Sheet-and-State-Owned-Enterprises-49604</vt:lpwstr>
      </vt:variant>
      <vt:variant>
        <vt:lpwstr/>
      </vt:variant>
      <vt:variant>
        <vt:i4>3276876</vt:i4>
      </vt:variant>
      <vt:variant>
        <vt:i4>36</vt:i4>
      </vt:variant>
      <vt:variant>
        <vt:i4>0</vt:i4>
      </vt:variant>
      <vt:variant>
        <vt:i4>5</vt:i4>
      </vt:variant>
      <vt:variant>
        <vt:lpwstr>https://papers.ssrn.com/sol3/papers.cfm?abstract_id=3397813</vt:lpwstr>
      </vt:variant>
      <vt:variant>
        <vt:lpwstr/>
      </vt:variant>
      <vt:variant>
        <vt:i4>1704055</vt:i4>
      </vt:variant>
      <vt:variant>
        <vt:i4>33</vt:i4>
      </vt:variant>
      <vt:variant>
        <vt:i4>0</vt:i4>
      </vt:variant>
      <vt:variant>
        <vt:i4>5</vt:i4>
      </vt:variant>
      <vt:variant>
        <vt:lpwstr>https://www.nbg.gov.ge/bankjournal/index.php?m=115&amp;blog_id=190</vt:lpwstr>
      </vt:variant>
      <vt:variant>
        <vt:lpwstr/>
      </vt:variant>
      <vt:variant>
        <vt:i4>8323179</vt:i4>
      </vt:variant>
      <vt:variant>
        <vt:i4>30</vt:i4>
      </vt:variant>
      <vt:variant>
        <vt:i4>0</vt:i4>
      </vt:variant>
      <vt:variant>
        <vt:i4>5</vt:i4>
      </vt:variant>
      <vt:variant>
        <vt:lpwstr>https://mof.ge/en/5232</vt:lpwstr>
      </vt:variant>
      <vt:variant>
        <vt:lpwstr/>
      </vt:variant>
      <vt:variant>
        <vt:i4>8061037</vt:i4>
      </vt:variant>
      <vt:variant>
        <vt:i4>27</vt:i4>
      </vt:variant>
      <vt:variant>
        <vt:i4>0</vt:i4>
      </vt:variant>
      <vt:variant>
        <vt:i4>5</vt:i4>
      </vt:variant>
      <vt:variant>
        <vt:lpwstr>https://mof.ge/en/4541</vt:lpwstr>
      </vt:variant>
      <vt:variant>
        <vt:lpwstr/>
      </vt:variant>
      <vt:variant>
        <vt:i4>3080228</vt:i4>
      </vt:variant>
      <vt:variant>
        <vt:i4>24</vt:i4>
      </vt:variant>
      <vt:variant>
        <vt:i4>0</vt:i4>
      </vt:variant>
      <vt:variant>
        <vt:i4>5</vt:i4>
      </vt:variant>
      <vt:variant>
        <vt:lpwstr>https://www.imf.org/en/Publications/CR/Issues/2020/07/22/Georgia-Technical-Assistance-Report-Public-Sector-Balance-Sheet-and-State-Owned-Enterprises-49604</vt:lpwstr>
      </vt:variant>
      <vt:variant>
        <vt:lpwstr/>
      </vt:variant>
      <vt:variant>
        <vt:i4>8061037</vt:i4>
      </vt:variant>
      <vt:variant>
        <vt:i4>21</vt:i4>
      </vt:variant>
      <vt:variant>
        <vt:i4>0</vt:i4>
      </vt:variant>
      <vt:variant>
        <vt:i4>5</vt:i4>
      </vt:variant>
      <vt:variant>
        <vt:lpwstr>https://mof.ge/en/4541</vt:lpwstr>
      </vt:variant>
      <vt:variant>
        <vt:lpwstr/>
      </vt:variant>
      <vt:variant>
        <vt:i4>8061037</vt:i4>
      </vt:variant>
      <vt:variant>
        <vt:i4>18</vt:i4>
      </vt:variant>
      <vt:variant>
        <vt:i4>0</vt:i4>
      </vt:variant>
      <vt:variant>
        <vt:i4>5</vt:i4>
      </vt:variant>
      <vt:variant>
        <vt:lpwstr>https://mof.ge/en/4541</vt:lpwstr>
      </vt:variant>
      <vt:variant>
        <vt:lpwstr/>
      </vt:variant>
      <vt:variant>
        <vt:i4>3538993</vt:i4>
      </vt:variant>
      <vt:variant>
        <vt:i4>15</vt:i4>
      </vt:variant>
      <vt:variant>
        <vt:i4>0</vt:i4>
      </vt:variant>
      <vt:variant>
        <vt:i4>5</vt:i4>
      </vt:variant>
      <vt:variant>
        <vt:lpwstr>https://mof.ge/5261</vt:lpwstr>
      </vt:variant>
      <vt:variant>
        <vt:lpwstr/>
      </vt:variant>
      <vt:variant>
        <vt:i4>5636146</vt:i4>
      </vt:variant>
      <vt:variant>
        <vt:i4>12</vt:i4>
      </vt:variant>
      <vt:variant>
        <vt:i4>0</vt:i4>
      </vt:variant>
      <vt:variant>
        <vt:i4>5</vt:i4>
      </vt:variant>
      <vt:variant>
        <vt:lpwstr>https://www.nbg.gov.ge/uploads/publications/moneratyfiscal/2020/tvis_mimoxilva/tvis_mimoxilva_ivnisi.pdf</vt:lpwstr>
      </vt:variant>
      <vt:variant>
        <vt:lpwstr/>
      </vt:variant>
      <vt:variant>
        <vt:i4>4456463</vt:i4>
      </vt:variant>
      <vt:variant>
        <vt:i4>9</vt:i4>
      </vt:variant>
      <vt:variant>
        <vt:i4>0</vt:i4>
      </vt:variant>
      <vt:variant>
        <vt:i4>5</vt:i4>
      </vt:variant>
      <vt:variant>
        <vt:lpwstr>https://www.adb.org/sites/default/files/publication/635666/ado2020-update.pdf</vt:lpwstr>
      </vt:variant>
      <vt:variant>
        <vt:lpwstr/>
      </vt:variant>
      <vt:variant>
        <vt:i4>6422626</vt:i4>
      </vt:variant>
      <vt:variant>
        <vt:i4>6</vt:i4>
      </vt:variant>
      <vt:variant>
        <vt:i4>0</vt:i4>
      </vt:variant>
      <vt:variant>
        <vt:i4>5</vt:i4>
      </vt:variant>
      <vt:variant>
        <vt:lpwstr>https://stopcov.ge/Content/files/COVID_RESPONSE_REPORT__ENG.pdf</vt:lpwstr>
      </vt:variant>
      <vt:variant>
        <vt:lpwstr/>
      </vt:variant>
      <vt:variant>
        <vt:i4>5505025</vt:i4>
      </vt:variant>
      <vt:variant>
        <vt:i4>3</vt:i4>
      </vt:variant>
      <vt:variant>
        <vt:i4>0</vt:i4>
      </vt:variant>
      <vt:variant>
        <vt:i4>5</vt:i4>
      </vt:variant>
      <vt:variant>
        <vt:lpwstr>https://stopcov.ge/en</vt:lpwstr>
      </vt:variant>
      <vt:variant>
        <vt:lpwstr/>
      </vt:variant>
      <vt:variant>
        <vt:i4>4522075</vt:i4>
      </vt:variant>
      <vt:variant>
        <vt:i4>0</vt:i4>
      </vt:variant>
      <vt:variant>
        <vt:i4>0</vt:i4>
      </vt:variant>
      <vt:variant>
        <vt:i4>5</vt:i4>
      </vt:variant>
      <vt:variant>
        <vt:lpwstr>https://www.adb.org/sites/default/files/institutional-document/579616/adbs-comprehensive-response-covid-19-pandemic-redacted-version.pdf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RRP Policy-Based Lending</dc:title>
  <dc:subject/>
  <dc:creator>ADB</dc:creator>
  <cp:keywords>adb rrp report recommendation president</cp:keywords>
  <cp:lastModifiedBy>annrusieshvili@yahoo.com</cp:lastModifiedBy>
  <cp:revision>2</cp:revision>
  <cp:lastPrinted>2014-04-21T03:50:00Z</cp:lastPrinted>
  <dcterms:created xsi:type="dcterms:W3CDTF">2020-09-21T11:51:00Z</dcterms:created>
  <dcterms:modified xsi:type="dcterms:W3CDTF">2020-09-21T11:51:00Z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BDepartmentOwner">
    <vt:lpwstr>18;#SEC|0251849c-5d26-4413-ade9-2e3ee268b27b</vt:lpwstr>
  </property>
  <property fmtid="{D5CDD505-2E9C-101B-9397-08002B2CF9AE}" pid="3" name="ADBDocumentTypeValue">
    <vt:lpwstr>ADB Document</vt:lpwstr>
  </property>
  <property fmtid="{D5CDD505-2E9C-101B-9397-08002B2CF9AE}" pid="4" name="p030e467f78f45b4ae8f7e2c17ea4d82">
    <vt:lpwstr/>
  </property>
  <property fmtid="{D5CDD505-2E9C-101B-9397-08002B2CF9AE}" pid="5" name="a37ff23a602146d4934a49238d370ca5">
    <vt:lpwstr>Templates|c97063a1-ad03-4324-beaa-bf7c225b0bba</vt:lpwstr>
  </property>
  <property fmtid="{D5CDD505-2E9C-101B-9397-08002B2CF9AE}" pid="6" name="k985dbdc596c44d7acaf8184f33920f0">
    <vt:lpwstr/>
  </property>
  <property fmtid="{D5CDD505-2E9C-101B-9397-08002B2CF9AE}" pid="7" name="ADBCountry">
    <vt:lpwstr/>
  </property>
  <property fmtid="{D5CDD505-2E9C-101B-9397-08002B2CF9AE}" pid="8" name="d61536b25a8a4fedb48bb564279be82a">
    <vt:lpwstr>SEC|0251849c-5d26-4413-ade9-2e3ee268b27b</vt:lpwstr>
  </property>
  <property fmtid="{D5CDD505-2E9C-101B-9397-08002B2CF9AE}" pid="9" name="ContentTypeId">
    <vt:lpwstr>0x010100A3BFD338C4D69F46BE33AA49AB50870100C520B00D8BB20C45814389052060F14C</vt:lpwstr>
  </property>
  <property fmtid="{D5CDD505-2E9C-101B-9397-08002B2CF9AE}" pid="10" name="TaxCatchAll">
    <vt:lpwstr>6;#Templates|c97063a1-ad03-4324-beaa-bf7c225b0bba;#4;#SEC|0251849c-5d26-4413-ade9-2e3ee268b27b;#3;#SEC|0251849c-5d26-4413-ade9-2e3ee268b27b;#1;#English|16ac8743-31bb-43f8-9a73-533a041667d6</vt:lpwstr>
  </property>
  <property fmtid="{D5CDD505-2E9C-101B-9397-08002B2CF9AE}" pid="11" name="ADBDocumentType">
    <vt:lpwstr>6;#Templates|c97063a1-ad03-4324-beaa-bf7c225b0bba</vt:lpwstr>
  </property>
  <property fmtid="{D5CDD505-2E9C-101B-9397-08002B2CF9AE}" pid="12" name="ADBContentGroup">
    <vt:lpwstr>20;#SEC|0251849c-5d26-4413-ade9-2e3ee268b27b</vt:lpwstr>
  </property>
  <property fmtid="{D5CDD505-2E9C-101B-9397-08002B2CF9AE}" pid="13" name="ADBSector">
    <vt:lpwstr/>
  </property>
  <property fmtid="{D5CDD505-2E9C-101B-9397-08002B2CF9AE}" pid="14" name="h00e4aaaf4624e24a7df7f06faa038c6">
    <vt:lpwstr>English|16ac8743-31bb-43f8-9a73-533a041667d6</vt:lpwstr>
  </property>
  <property fmtid="{D5CDD505-2E9C-101B-9397-08002B2CF9AE}" pid="15" name="ADBDocumentSecurity">
    <vt:lpwstr>19;#Internal|ff6db7ea-0dcf-4d09-b0cb-cd0269360b0f</vt:lpwstr>
  </property>
  <property fmtid="{D5CDD505-2E9C-101B-9397-08002B2CF9AE}" pid="16" name="d01a0ce1b141461dbfb235a3ab729a2c">
    <vt:lpwstr/>
  </property>
  <property fmtid="{D5CDD505-2E9C-101B-9397-08002B2CF9AE}" pid="17" name="ADBDocumentLanguage">
    <vt:lpwstr>1;#English|16ac8743-31bb-43f8-9a73-533a041667d6</vt:lpwstr>
  </property>
  <property fmtid="{D5CDD505-2E9C-101B-9397-08002B2CF9AE}" pid="18" name="AuthorIds_UIVersion_2048">
    <vt:lpwstr>109</vt:lpwstr>
  </property>
  <property fmtid="{D5CDD505-2E9C-101B-9397-08002B2CF9AE}" pid="19" name="ADBCountryDocumentType">
    <vt:lpwstr/>
  </property>
  <property fmtid="{D5CDD505-2E9C-101B-9397-08002B2CF9AE}" pid="20" name="ADBProjectDocumentType">
    <vt:lpwstr/>
  </property>
  <property fmtid="{D5CDD505-2E9C-101B-9397-08002B2CF9AE}" pid="21" name="a0d1b14b197747dfafc19f70ff45d4f6">
    <vt:lpwstr/>
  </property>
  <property fmtid="{D5CDD505-2E9C-101B-9397-08002B2CF9AE}" pid="22" name="ADBProject">
    <vt:lpwstr/>
  </property>
  <property fmtid="{D5CDD505-2E9C-101B-9397-08002B2CF9AE}" pid="23" name="de77c5b4d20d4bdeb0b6d09350193e53">
    <vt:lpwstr/>
  </property>
  <property fmtid="{D5CDD505-2E9C-101B-9397-08002B2CF9AE}" pid="24" name="hca2169e3b0945318411f30479ba40c8">
    <vt:lpwstr/>
  </property>
  <property fmtid="{D5CDD505-2E9C-101B-9397-08002B2CF9AE}" pid="25" name="AuthorIds_UIVersion_1536">
    <vt:lpwstr>110</vt:lpwstr>
  </property>
  <property fmtid="{D5CDD505-2E9C-101B-9397-08002B2CF9AE}" pid="26" name="ADBDivision">
    <vt:lpwstr>4;#CWPF|14fb442e-d1a4-4c70-b930-46052dddc16a</vt:lpwstr>
  </property>
  <property fmtid="{D5CDD505-2E9C-101B-9397-08002B2CF9AE}" pid="27" name="ADBSubRegion">
    <vt:lpwstr/>
  </property>
  <property fmtid="{D5CDD505-2E9C-101B-9397-08002B2CF9AE}" pid="28" name="Segment">
    <vt:lpwstr/>
  </property>
</Properties>
</file>